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815AA4">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815AA4">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815AA4">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05EB66B7" w:rsidR="00E978D0" w:rsidRPr="00B57B36" w:rsidRDefault="00815AA4" w:rsidP="00E978D0">
      <w:pPr>
        <w:pStyle w:val="CETTitle"/>
      </w:pPr>
      <w:r w:rsidRPr="00815AA4">
        <w:t>Direct Electrochemical Biogas Upgrading: Design and Challenges of an Electroreduction-based Power-to-Methane System</w:t>
      </w:r>
    </w:p>
    <w:p w14:paraId="7E4FB1EC" w14:textId="69D4E76C" w:rsidR="00815AA4" w:rsidRPr="00815AA4" w:rsidRDefault="00815AA4" w:rsidP="00B57E6F">
      <w:pPr>
        <w:pStyle w:val="CETAddress"/>
        <w:rPr>
          <w:sz w:val="24"/>
          <w:lang w:val="es-ES"/>
        </w:rPr>
      </w:pPr>
      <w:r w:rsidRPr="00815AA4">
        <w:rPr>
          <w:sz w:val="24"/>
          <w:lang w:val="es-ES"/>
        </w:rPr>
        <w:t>J</w:t>
      </w:r>
      <w:r>
        <w:rPr>
          <w:sz w:val="24"/>
          <w:lang w:val="es-ES"/>
        </w:rPr>
        <w:t>ose Antonio</w:t>
      </w:r>
      <w:r w:rsidRPr="00815AA4">
        <w:rPr>
          <w:sz w:val="24"/>
          <w:lang w:val="es-ES"/>
        </w:rPr>
        <w:t xml:space="preserve"> Abarca</w:t>
      </w:r>
      <w:r w:rsidRPr="00815AA4">
        <w:rPr>
          <w:sz w:val="24"/>
          <w:vertAlign w:val="superscript"/>
          <w:lang w:val="es-ES"/>
        </w:rPr>
        <w:t>a,*</w:t>
      </w:r>
      <w:r w:rsidRPr="00815AA4">
        <w:rPr>
          <w:sz w:val="24"/>
          <w:lang w:val="es-ES"/>
        </w:rPr>
        <w:t>, I</w:t>
      </w:r>
      <w:r>
        <w:rPr>
          <w:sz w:val="24"/>
          <w:lang w:val="es-ES"/>
        </w:rPr>
        <w:t>nmaculada</w:t>
      </w:r>
      <w:r w:rsidRPr="00815AA4">
        <w:rPr>
          <w:sz w:val="24"/>
          <w:lang w:val="es-ES"/>
        </w:rPr>
        <w:t xml:space="preserve"> Ortiz-Gómez</w:t>
      </w:r>
      <w:r w:rsidRPr="00815AA4">
        <w:rPr>
          <w:sz w:val="24"/>
          <w:vertAlign w:val="superscript"/>
          <w:lang w:val="es-ES"/>
        </w:rPr>
        <w:t>b</w:t>
      </w:r>
      <w:r w:rsidRPr="00815AA4">
        <w:rPr>
          <w:sz w:val="24"/>
          <w:lang w:val="es-ES"/>
        </w:rPr>
        <w:t>, C</w:t>
      </w:r>
      <w:r>
        <w:rPr>
          <w:sz w:val="24"/>
          <w:lang w:val="es-ES"/>
        </w:rPr>
        <w:t>átia</w:t>
      </w:r>
      <w:r w:rsidRPr="00815AA4">
        <w:rPr>
          <w:sz w:val="24"/>
          <w:lang w:val="es-ES"/>
        </w:rPr>
        <w:t xml:space="preserve"> Azenha</w:t>
      </w:r>
      <w:r w:rsidRPr="00815AA4">
        <w:rPr>
          <w:sz w:val="24"/>
          <w:vertAlign w:val="superscript"/>
          <w:lang w:val="es-ES"/>
        </w:rPr>
        <w:t>c</w:t>
      </w:r>
      <w:r w:rsidRPr="00815AA4">
        <w:rPr>
          <w:sz w:val="24"/>
          <w:lang w:val="es-ES"/>
        </w:rPr>
        <w:t xml:space="preserve">, </w:t>
      </w:r>
      <w:r w:rsidR="007203F2">
        <w:rPr>
          <w:sz w:val="24"/>
          <w:lang w:val="es-ES"/>
        </w:rPr>
        <w:t>Cesar Escobar</w:t>
      </w:r>
      <w:r w:rsidRPr="00815AA4">
        <w:rPr>
          <w:sz w:val="24"/>
          <w:vertAlign w:val="superscript"/>
          <w:lang w:val="es-ES"/>
        </w:rPr>
        <w:t>b</w:t>
      </w:r>
      <w:r w:rsidRPr="00815AA4">
        <w:rPr>
          <w:sz w:val="24"/>
          <w:lang w:val="es-ES"/>
        </w:rPr>
        <w:t xml:space="preserve">, </w:t>
      </w:r>
      <w:r>
        <w:rPr>
          <w:sz w:val="24"/>
          <w:lang w:val="es-ES"/>
        </w:rPr>
        <w:t>Guilherme Silva</w:t>
      </w:r>
      <w:r>
        <w:rPr>
          <w:sz w:val="24"/>
          <w:vertAlign w:val="superscript"/>
          <w:lang w:val="es-ES"/>
        </w:rPr>
        <w:t>c</w:t>
      </w:r>
      <w:r w:rsidRPr="00815AA4">
        <w:rPr>
          <w:sz w:val="24"/>
          <w:lang w:val="es-ES"/>
        </w:rPr>
        <w:t>, A</w:t>
      </w:r>
      <w:r>
        <w:rPr>
          <w:sz w:val="24"/>
          <w:lang w:val="es-ES"/>
        </w:rPr>
        <w:t>delio</w:t>
      </w:r>
      <w:r w:rsidRPr="00815AA4">
        <w:rPr>
          <w:sz w:val="24"/>
          <w:lang w:val="es-ES"/>
        </w:rPr>
        <w:t xml:space="preserve"> Mendes</w:t>
      </w:r>
      <w:r w:rsidRPr="00815AA4">
        <w:rPr>
          <w:sz w:val="24"/>
          <w:vertAlign w:val="superscript"/>
          <w:lang w:val="es-ES"/>
        </w:rPr>
        <w:t>c</w:t>
      </w:r>
      <w:r w:rsidRPr="00815AA4">
        <w:rPr>
          <w:sz w:val="24"/>
          <w:lang w:val="es-ES"/>
        </w:rPr>
        <w:t>, A</w:t>
      </w:r>
      <w:r>
        <w:rPr>
          <w:sz w:val="24"/>
          <w:lang w:val="es-ES"/>
        </w:rPr>
        <w:t>ngel</w:t>
      </w:r>
      <w:r w:rsidRPr="00815AA4">
        <w:rPr>
          <w:sz w:val="24"/>
          <w:lang w:val="es-ES"/>
        </w:rPr>
        <w:t xml:space="preserve"> Irabien</w:t>
      </w:r>
      <w:r w:rsidRPr="00815AA4">
        <w:rPr>
          <w:sz w:val="24"/>
          <w:vertAlign w:val="superscript"/>
          <w:lang w:val="es-ES"/>
        </w:rPr>
        <w:t>a</w:t>
      </w:r>
      <w:r w:rsidRPr="00815AA4">
        <w:rPr>
          <w:sz w:val="24"/>
          <w:lang w:val="es-ES"/>
        </w:rPr>
        <w:t>, G</w:t>
      </w:r>
      <w:r>
        <w:rPr>
          <w:sz w:val="24"/>
          <w:lang w:val="es-ES"/>
        </w:rPr>
        <w:t>uillermo</w:t>
      </w:r>
      <w:r w:rsidRPr="00815AA4">
        <w:rPr>
          <w:sz w:val="24"/>
          <w:lang w:val="es-ES"/>
        </w:rPr>
        <w:t xml:space="preserve"> Díaz-Sainz</w:t>
      </w:r>
      <w:r w:rsidRPr="00815AA4">
        <w:rPr>
          <w:sz w:val="24"/>
          <w:vertAlign w:val="superscript"/>
          <w:lang w:val="es-ES"/>
        </w:rPr>
        <w:t>a</w:t>
      </w:r>
      <w:r w:rsidR="00764100">
        <w:rPr>
          <w:sz w:val="24"/>
          <w:vertAlign w:val="superscript"/>
          <w:lang w:val="es-ES"/>
        </w:rPr>
        <w:t>,*</w:t>
      </w:r>
    </w:p>
    <w:p w14:paraId="386071C0" w14:textId="4CD63036" w:rsidR="00815AA4" w:rsidRDefault="00B57E6F" w:rsidP="00B57E6F">
      <w:pPr>
        <w:pStyle w:val="CETAddress"/>
        <w:rPr>
          <w:lang w:val="es-ES"/>
        </w:rPr>
      </w:pPr>
      <w:r w:rsidRPr="00815AA4">
        <w:rPr>
          <w:vertAlign w:val="superscript"/>
          <w:lang w:val="es-ES"/>
        </w:rPr>
        <w:t>a</w:t>
      </w:r>
      <w:r w:rsidR="00815AA4">
        <w:rPr>
          <w:vertAlign w:val="superscript"/>
          <w:lang w:val="es-ES"/>
        </w:rPr>
        <w:t xml:space="preserve"> </w:t>
      </w:r>
      <w:r w:rsidR="00815AA4" w:rsidRPr="00815AA4">
        <w:rPr>
          <w:lang w:val="es-ES"/>
        </w:rPr>
        <w:t>Departamento de Ingenierías Química y Biomolecular, Universidad de Cantabria, Av. de los Castros s/n, 39005 Santander, España</w:t>
      </w:r>
    </w:p>
    <w:p w14:paraId="7463B3A9" w14:textId="122993CA" w:rsidR="00815AA4" w:rsidRPr="006B625B" w:rsidRDefault="00B57E6F" w:rsidP="00815AA4">
      <w:pPr>
        <w:pStyle w:val="CETAddress"/>
      </w:pPr>
      <w:r w:rsidRPr="00E057D8">
        <w:rPr>
          <w:vertAlign w:val="superscript"/>
        </w:rPr>
        <w:t>b</w:t>
      </w:r>
      <w:r w:rsidR="00815AA4" w:rsidRPr="00E057D8">
        <w:rPr>
          <w:vertAlign w:val="superscript"/>
        </w:rPr>
        <w:t xml:space="preserve"> </w:t>
      </w:r>
      <w:r w:rsidR="00E057D8" w:rsidRPr="006B625B">
        <w:t>Advanced Materials and Nanomaterials area, Centro Tecnológico de Componentes-CTC, Scientific and Technological Park of Cantabria (PCTCAN) 39011 Santander, Spain</w:t>
      </w:r>
    </w:p>
    <w:p w14:paraId="339C8839" w14:textId="0E3B7AC4" w:rsidR="00815AA4" w:rsidRPr="00815AA4" w:rsidRDefault="00815AA4" w:rsidP="00815AA4">
      <w:pPr>
        <w:pStyle w:val="CETAddress"/>
        <w:rPr>
          <w:lang w:val="en-US"/>
        </w:rPr>
      </w:pPr>
      <w:r>
        <w:rPr>
          <w:vertAlign w:val="superscript"/>
          <w:lang w:val="en-US"/>
        </w:rPr>
        <w:t xml:space="preserve">c </w:t>
      </w:r>
      <w:r w:rsidRPr="00815AA4">
        <w:rPr>
          <w:lang w:val="en-US"/>
        </w:rPr>
        <w:t>Lepabe - Laboratory for Process Engineering, Environment, Biotechnology and Energy, Faculty of Engineering, University of Porto, Rua Dr. Roberto Frias, Porto, 4200-465, Portugal</w:t>
      </w:r>
    </w:p>
    <w:p w14:paraId="73F1267A" w14:textId="16291FB5" w:rsidR="00B57E6F" w:rsidRDefault="00B57E6F" w:rsidP="00815AA4">
      <w:pPr>
        <w:pStyle w:val="CETAddress"/>
        <w:rPr>
          <w:lang w:val="en-US"/>
        </w:rPr>
      </w:pPr>
      <w:r w:rsidRPr="00815AA4">
        <w:rPr>
          <w:lang w:val="en-US"/>
        </w:rPr>
        <w:t xml:space="preserve"> </w:t>
      </w:r>
      <w:r w:rsidR="00764100">
        <w:rPr>
          <w:lang w:val="en-US"/>
        </w:rPr>
        <w:t>*abarcaja@unican.es; *</w:t>
      </w:r>
      <w:r w:rsidR="00764100" w:rsidRPr="00764100">
        <w:rPr>
          <w:lang w:val="en-US"/>
        </w:rPr>
        <w:t>diazsg@unican.es</w:t>
      </w:r>
    </w:p>
    <w:p w14:paraId="7C75CFD3" w14:textId="77777777" w:rsidR="00815AA4" w:rsidRDefault="00815AA4" w:rsidP="00815AA4">
      <w:pPr>
        <w:pStyle w:val="CETAddress"/>
        <w:rPr>
          <w:lang w:val="en-US"/>
        </w:rPr>
      </w:pPr>
    </w:p>
    <w:p w14:paraId="52F333B3" w14:textId="458C99A7" w:rsidR="00D04B34" w:rsidRPr="00D04B34" w:rsidRDefault="00D04B34" w:rsidP="00D04B34">
      <w:pPr>
        <w:pStyle w:val="CETHeading1"/>
        <w:numPr>
          <w:ilvl w:val="0"/>
          <w:numId w:val="0"/>
        </w:numPr>
        <w:rPr>
          <w:lang w:val="en-GB"/>
        </w:rPr>
      </w:pPr>
      <w:r>
        <w:rPr>
          <w:lang w:val="en-GB"/>
        </w:rPr>
        <w:t>Abstract</w:t>
      </w:r>
    </w:p>
    <w:p w14:paraId="480E8AAB" w14:textId="0A440A43" w:rsidR="00343DF9" w:rsidRPr="00343DF9" w:rsidRDefault="00343DF9" w:rsidP="00343DF9">
      <w:pPr>
        <w:pStyle w:val="CETAddress"/>
        <w:jc w:val="both"/>
        <w:rPr>
          <w:noProof w:val="0"/>
          <w:sz w:val="18"/>
        </w:rPr>
      </w:pPr>
      <w:r w:rsidRPr="00343DF9">
        <w:rPr>
          <w:noProof w:val="0"/>
          <w:sz w:val="18"/>
        </w:rPr>
        <w:t>Electrochemical CO</w:t>
      </w:r>
      <w:r w:rsidRPr="00343DF9">
        <w:rPr>
          <w:rFonts w:ascii="Cambria Math" w:hAnsi="Cambria Math" w:cs="Cambria Math"/>
          <w:noProof w:val="0"/>
          <w:sz w:val="18"/>
        </w:rPr>
        <w:t>₂</w:t>
      </w:r>
      <w:r w:rsidRPr="00343DF9">
        <w:rPr>
          <w:noProof w:val="0"/>
          <w:sz w:val="18"/>
        </w:rPr>
        <w:t xml:space="preserve"> reduction (ERCO</w:t>
      </w:r>
      <w:r w:rsidRPr="00343DF9">
        <w:rPr>
          <w:rFonts w:ascii="Cambria Math" w:hAnsi="Cambria Math" w:cs="Cambria Math"/>
          <w:noProof w:val="0"/>
          <w:sz w:val="18"/>
        </w:rPr>
        <w:t>₂</w:t>
      </w:r>
      <w:r w:rsidRPr="00343DF9">
        <w:rPr>
          <w:noProof w:val="0"/>
          <w:sz w:val="18"/>
        </w:rPr>
        <w:t>) to methane represents a sustainable strategy for biogas upgrading by directly converting CO</w:t>
      </w:r>
      <w:r w:rsidRPr="00343DF9">
        <w:rPr>
          <w:rFonts w:ascii="Cambria Math" w:hAnsi="Cambria Math" w:cs="Cambria Math"/>
          <w:noProof w:val="0"/>
          <w:sz w:val="18"/>
        </w:rPr>
        <w:t>₂</w:t>
      </w:r>
      <w:r w:rsidRPr="00343DF9">
        <w:rPr>
          <w:noProof w:val="0"/>
          <w:sz w:val="18"/>
        </w:rPr>
        <w:t xml:space="preserve"> into a value</w:t>
      </w:r>
      <w:r w:rsidRPr="00343DF9">
        <w:rPr>
          <w:rFonts w:ascii="Cambria Math" w:hAnsi="Cambria Math" w:cs="Cambria Math"/>
          <w:noProof w:val="0"/>
          <w:sz w:val="18"/>
        </w:rPr>
        <w:t>‑</w:t>
      </w:r>
      <w:r w:rsidRPr="00343DF9">
        <w:rPr>
          <w:noProof w:val="0"/>
          <w:sz w:val="18"/>
        </w:rPr>
        <w:t xml:space="preserve">added fuel. </w:t>
      </w:r>
      <w:r w:rsidR="00FA6EDC">
        <w:rPr>
          <w:noProof w:val="0"/>
          <w:sz w:val="18"/>
        </w:rPr>
        <w:t>This</w:t>
      </w:r>
      <w:r w:rsidRPr="00343DF9">
        <w:rPr>
          <w:noProof w:val="0"/>
          <w:sz w:val="18"/>
        </w:rPr>
        <w:t xml:space="preserve"> work assesses a multi</w:t>
      </w:r>
      <w:r w:rsidRPr="00343DF9">
        <w:rPr>
          <w:rFonts w:ascii="Cambria Math" w:hAnsi="Cambria Math" w:cs="Cambria Math"/>
          <w:noProof w:val="0"/>
          <w:sz w:val="18"/>
        </w:rPr>
        <w:t>‑</w:t>
      </w:r>
      <w:r w:rsidRPr="00343DF9">
        <w:rPr>
          <w:noProof w:val="0"/>
          <w:sz w:val="18"/>
        </w:rPr>
        <w:t>stage development strategy aimed at advancing a pilot</w:t>
      </w:r>
      <w:r w:rsidRPr="00343DF9">
        <w:rPr>
          <w:rFonts w:ascii="Cambria Math" w:hAnsi="Cambria Math" w:cs="Cambria Math"/>
          <w:noProof w:val="0"/>
          <w:sz w:val="18"/>
        </w:rPr>
        <w:t>‑</w:t>
      </w:r>
      <w:r w:rsidRPr="00343DF9">
        <w:rPr>
          <w:noProof w:val="0"/>
          <w:sz w:val="18"/>
        </w:rPr>
        <w:t>scale electrolyzer system. The research emphasizes catalyst development</w:t>
      </w:r>
      <w:r w:rsidR="00FA6EDC">
        <w:rPr>
          <w:noProof w:val="0"/>
          <w:sz w:val="18"/>
        </w:rPr>
        <w:t xml:space="preserve">, </w:t>
      </w:r>
      <w:r w:rsidRPr="00343DF9">
        <w:rPr>
          <w:noProof w:val="0"/>
          <w:sz w:val="18"/>
        </w:rPr>
        <w:t>specifically metal–organic frameworks (MOFs) and heteroatom</w:t>
      </w:r>
      <w:r w:rsidRPr="00343DF9">
        <w:rPr>
          <w:rFonts w:ascii="Cambria Math" w:hAnsi="Cambria Math" w:cs="Cambria Math"/>
          <w:noProof w:val="0"/>
          <w:sz w:val="18"/>
        </w:rPr>
        <w:t>‑</w:t>
      </w:r>
      <w:r w:rsidRPr="00343DF9">
        <w:rPr>
          <w:noProof w:val="0"/>
          <w:sz w:val="18"/>
        </w:rPr>
        <w:t>doped graphene quantum dots (GQDs)</w:t>
      </w:r>
      <w:r w:rsidR="00FA6EDC">
        <w:rPr>
          <w:noProof w:val="0"/>
          <w:sz w:val="18"/>
        </w:rPr>
        <w:t xml:space="preserve">, </w:t>
      </w:r>
      <w:r w:rsidRPr="00343DF9">
        <w:rPr>
          <w:noProof w:val="0"/>
          <w:sz w:val="18"/>
        </w:rPr>
        <w:t xml:space="preserve">together with the optimization of gas diffusion electrodes (GDEs). Experimental results reveal that GDE formulation plays a decisive role in performance; in particular, the use of </w:t>
      </w:r>
      <w:r w:rsidR="00B3170D">
        <w:rPr>
          <w:noProof w:val="0"/>
          <w:sz w:val="18"/>
        </w:rPr>
        <w:t xml:space="preserve">the </w:t>
      </w:r>
      <w:r w:rsidRPr="00343DF9">
        <w:rPr>
          <w:noProof w:val="0"/>
          <w:sz w:val="18"/>
        </w:rPr>
        <w:t xml:space="preserve">Sustainion ionomer markedly improves methane Faradaic efficiency (FE) compared to </w:t>
      </w:r>
      <w:r w:rsidR="00F93D94">
        <w:rPr>
          <w:noProof w:val="0"/>
          <w:sz w:val="18"/>
        </w:rPr>
        <w:t xml:space="preserve">the </w:t>
      </w:r>
      <w:r w:rsidRPr="00343DF9">
        <w:rPr>
          <w:noProof w:val="0"/>
          <w:sz w:val="18"/>
        </w:rPr>
        <w:t>Nafion</w:t>
      </w:r>
      <w:r w:rsidR="00F93D94">
        <w:rPr>
          <w:noProof w:val="0"/>
          <w:sz w:val="18"/>
        </w:rPr>
        <w:t xml:space="preserve"> ionomer</w:t>
      </w:r>
      <w:r w:rsidRPr="00343DF9">
        <w:rPr>
          <w:noProof w:val="0"/>
          <w:sz w:val="18"/>
        </w:rPr>
        <w:t>. During catalyst screening in a 5 cm² membrane electrode assembly (MEA) flow cell, Cu</w:t>
      </w:r>
      <w:r w:rsidRPr="00343DF9">
        <w:rPr>
          <w:rFonts w:ascii="Cambria Math" w:hAnsi="Cambria Math" w:cs="Cambria Math"/>
          <w:noProof w:val="0"/>
          <w:sz w:val="18"/>
        </w:rPr>
        <w:t>‑</w:t>
      </w:r>
      <w:r w:rsidRPr="00343DF9">
        <w:rPr>
          <w:noProof w:val="0"/>
          <w:sz w:val="18"/>
        </w:rPr>
        <w:t>MOF</w:t>
      </w:r>
      <w:r w:rsidRPr="00343DF9">
        <w:rPr>
          <w:rFonts w:ascii="Cambria Math" w:hAnsi="Cambria Math" w:cs="Cambria Math"/>
          <w:noProof w:val="0"/>
          <w:sz w:val="18"/>
        </w:rPr>
        <w:t>‑</w:t>
      </w:r>
      <w:r w:rsidRPr="00343DF9">
        <w:rPr>
          <w:noProof w:val="0"/>
          <w:sz w:val="18"/>
        </w:rPr>
        <w:t>MET and Cu</w:t>
      </w:r>
      <w:r w:rsidRPr="00343DF9">
        <w:rPr>
          <w:rFonts w:ascii="Cambria Math" w:hAnsi="Cambria Math" w:cs="Cambria Math"/>
          <w:noProof w:val="0"/>
          <w:sz w:val="18"/>
        </w:rPr>
        <w:t>‑</w:t>
      </w:r>
      <w:r w:rsidRPr="00343DF9">
        <w:rPr>
          <w:noProof w:val="0"/>
          <w:sz w:val="18"/>
        </w:rPr>
        <w:t>ZIF</w:t>
      </w:r>
      <w:r w:rsidRPr="00343DF9">
        <w:rPr>
          <w:rFonts w:ascii="Cambria Math" w:hAnsi="Cambria Math" w:cs="Cambria Math"/>
          <w:noProof w:val="0"/>
          <w:sz w:val="18"/>
        </w:rPr>
        <w:t>‑</w:t>
      </w:r>
      <w:r w:rsidRPr="00343DF9">
        <w:rPr>
          <w:noProof w:val="0"/>
          <w:sz w:val="18"/>
        </w:rPr>
        <w:t>8 (1:1) exhibited the highest methane FEs of 44.3% and 27.8%, respectively, while sulfur</w:t>
      </w:r>
      <w:r w:rsidRPr="00343DF9">
        <w:rPr>
          <w:rFonts w:ascii="Cambria Math" w:hAnsi="Cambria Math" w:cs="Cambria Math"/>
          <w:noProof w:val="0"/>
          <w:sz w:val="18"/>
        </w:rPr>
        <w:t>‑</w:t>
      </w:r>
      <w:r w:rsidRPr="00343DF9">
        <w:rPr>
          <w:noProof w:val="0"/>
          <w:sz w:val="18"/>
        </w:rPr>
        <w:t>doped GQDs achieved an FE of 14%. Building on these outcomes, a 100 cm² electrolyzer featuring a serpentine flow</w:t>
      </w:r>
      <w:r w:rsidRPr="00343DF9">
        <w:rPr>
          <w:rFonts w:ascii="Cambria Math" w:hAnsi="Cambria Math" w:cs="Cambria Math"/>
          <w:noProof w:val="0"/>
          <w:sz w:val="18"/>
        </w:rPr>
        <w:t>‑</w:t>
      </w:r>
      <w:r w:rsidRPr="00343DF9">
        <w:rPr>
          <w:noProof w:val="0"/>
          <w:sz w:val="18"/>
        </w:rPr>
        <w:t xml:space="preserve">field distributor </w:t>
      </w:r>
      <w:r w:rsidR="00FA6EDC">
        <w:rPr>
          <w:noProof w:val="0"/>
          <w:sz w:val="18"/>
        </w:rPr>
        <w:t>is</w:t>
      </w:r>
      <w:r w:rsidRPr="00343DF9">
        <w:rPr>
          <w:noProof w:val="0"/>
          <w:sz w:val="18"/>
        </w:rPr>
        <w:t xml:space="preserve"> designed for integration into a pilot</w:t>
      </w:r>
      <w:r w:rsidRPr="00343DF9">
        <w:rPr>
          <w:rFonts w:ascii="Cambria Math" w:hAnsi="Cambria Math" w:cs="Cambria Math"/>
          <w:noProof w:val="0"/>
          <w:sz w:val="18"/>
        </w:rPr>
        <w:t>‑</w:t>
      </w:r>
      <w:r w:rsidRPr="00343DF9">
        <w:rPr>
          <w:noProof w:val="0"/>
          <w:sz w:val="18"/>
        </w:rPr>
        <w:t>scale biogas upgrading facility. Overall, this study underscores the potential of ERCO</w:t>
      </w:r>
      <w:r w:rsidRPr="00343DF9">
        <w:rPr>
          <w:rFonts w:ascii="Cambria Math" w:hAnsi="Cambria Math" w:cs="Cambria Math"/>
          <w:noProof w:val="0"/>
          <w:sz w:val="18"/>
        </w:rPr>
        <w:t>₂</w:t>
      </w:r>
      <w:r w:rsidRPr="00343DF9">
        <w:rPr>
          <w:noProof w:val="0"/>
          <w:sz w:val="18"/>
        </w:rPr>
        <w:t xml:space="preserve"> as an efficient pathway for biogas upgrading and renewable energy storage, while establishing a solid technical foundation for subsequent industrial</w:t>
      </w:r>
      <w:r w:rsidRPr="00343DF9">
        <w:rPr>
          <w:rFonts w:ascii="Cambria Math" w:hAnsi="Cambria Math" w:cs="Cambria Math"/>
          <w:noProof w:val="0"/>
          <w:sz w:val="18"/>
        </w:rPr>
        <w:t>‑</w:t>
      </w:r>
      <w:r w:rsidRPr="00343DF9">
        <w:rPr>
          <w:noProof w:val="0"/>
          <w:sz w:val="18"/>
        </w:rPr>
        <w:t>scale validation</w:t>
      </w:r>
      <w:r w:rsidR="00F93D94">
        <w:rPr>
          <w:noProof w:val="0"/>
          <w:sz w:val="18"/>
        </w:rPr>
        <w:t xml:space="preserve"> efforts</w:t>
      </w:r>
      <w:r w:rsidRPr="00343DF9">
        <w:rPr>
          <w:noProof w:val="0"/>
          <w:sz w:val="18"/>
        </w:rPr>
        <w:t>.</w:t>
      </w:r>
    </w:p>
    <w:p w14:paraId="476B2F2E" w14:textId="11DC4A41" w:rsidR="00600535" w:rsidRDefault="00600535" w:rsidP="00600535">
      <w:pPr>
        <w:pStyle w:val="CETHeading1"/>
        <w:rPr>
          <w:lang w:val="en-GB"/>
        </w:rPr>
      </w:pPr>
      <w:r w:rsidRPr="00B57B36">
        <w:rPr>
          <w:lang w:val="en-GB"/>
        </w:rPr>
        <w:t>Introduction</w:t>
      </w:r>
    </w:p>
    <w:p w14:paraId="4B194F1E" w14:textId="0E2BD8E0" w:rsidR="008F45BF" w:rsidRDefault="008F45BF" w:rsidP="008F45BF">
      <w:pPr>
        <w:pStyle w:val="CETBodytext"/>
        <w:spacing w:after="120"/>
        <w:rPr>
          <w:lang w:val="en-GB"/>
        </w:rPr>
      </w:pPr>
      <w:r w:rsidRPr="008F45BF">
        <w:rPr>
          <w:lang w:val="en-GB"/>
        </w:rPr>
        <w:t>The increase in atmospheric CO</w:t>
      </w:r>
      <w:r w:rsidRPr="008F45BF">
        <w:rPr>
          <w:rFonts w:ascii="Cambria Math" w:hAnsi="Cambria Math" w:cs="Cambria Math"/>
          <w:lang w:val="en-GB"/>
        </w:rPr>
        <w:t>₂</w:t>
      </w:r>
      <w:r w:rsidRPr="008F45BF">
        <w:rPr>
          <w:lang w:val="en-GB"/>
        </w:rPr>
        <w:t xml:space="preserve"> emissions resulting from the combustion of fossil fuels leads to global impacts such as </w:t>
      </w:r>
      <w:r w:rsidR="0024129E" w:rsidRPr="008F45BF">
        <w:rPr>
          <w:lang w:val="en-GB"/>
        </w:rPr>
        <w:t>climate change</w:t>
      </w:r>
      <w:r w:rsidR="0024129E">
        <w:rPr>
          <w:lang w:val="en-GB"/>
        </w:rPr>
        <w:t xml:space="preserve"> and </w:t>
      </w:r>
      <w:r w:rsidRPr="008F45BF">
        <w:rPr>
          <w:lang w:val="en-GB"/>
        </w:rPr>
        <w:t xml:space="preserve">global </w:t>
      </w:r>
      <w:r w:rsidR="00274754" w:rsidRPr="008F45BF">
        <w:rPr>
          <w:lang w:val="en-GB"/>
        </w:rPr>
        <w:t>warming.</w:t>
      </w:r>
      <w:r w:rsidRPr="008F45BF">
        <w:rPr>
          <w:lang w:val="en-GB"/>
        </w:rPr>
        <w:t xml:space="preserve"> For this reason, it is necessary to seek alternative energy sources that mitigate the rise in </w:t>
      </w:r>
      <w:r w:rsidR="00BD2578">
        <w:rPr>
          <w:lang w:val="en-GB"/>
        </w:rPr>
        <w:t>atmospheric CO</w:t>
      </w:r>
      <w:r w:rsidR="00BD2578">
        <w:rPr>
          <w:rFonts w:ascii="Cambria Math" w:hAnsi="Cambria Math" w:cs="Cambria Math"/>
          <w:lang w:val="en-GB"/>
        </w:rPr>
        <w:t>₂</w:t>
      </w:r>
      <w:r w:rsidR="00BD2578">
        <w:rPr>
          <w:lang w:val="en-GB"/>
        </w:rPr>
        <w:t xml:space="preserve"> concentrations while </w:t>
      </w:r>
      <w:r w:rsidR="0024129E">
        <w:rPr>
          <w:lang w:val="en-GB"/>
        </w:rPr>
        <w:t>being</w:t>
      </w:r>
      <w:r w:rsidR="0024129E" w:rsidRPr="008F45BF">
        <w:rPr>
          <w:lang w:val="en-GB"/>
        </w:rPr>
        <w:t xml:space="preserve"> </w:t>
      </w:r>
      <w:r w:rsidRPr="008F45BF">
        <w:rPr>
          <w:lang w:val="en-GB"/>
        </w:rPr>
        <w:t xml:space="preserve">renewable. One such </w:t>
      </w:r>
      <w:r w:rsidR="0024129E">
        <w:rPr>
          <w:lang w:val="en-GB"/>
        </w:rPr>
        <w:t>alternative</w:t>
      </w:r>
      <w:r w:rsidR="0024129E" w:rsidRPr="008F45BF">
        <w:rPr>
          <w:lang w:val="en-GB"/>
        </w:rPr>
        <w:t xml:space="preserve"> </w:t>
      </w:r>
      <w:r w:rsidRPr="008F45BF">
        <w:rPr>
          <w:lang w:val="en-GB"/>
        </w:rPr>
        <w:t xml:space="preserve">is biogas, which is produced through </w:t>
      </w:r>
      <w:r w:rsidR="0024129E">
        <w:rPr>
          <w:lang w:val="en-GB"/>
        </w:rPr>
        <w:t>via</w:t>
      </w:r>
      <w:r w:rsidR="0024129E" w:rsidRPr="008F45BF">
        <w:rPr>
          <w:lang w:val="en-GB"/>
        </w:rPr>
        <w:t xml:space="preserve"> </w:t>
      </w:r>
      <w:r w:rsidRPr="008F45BF">
        <w:rPr>
          <w:lang w:val="en-GB"/>
        </w:rPr>
        <w:t>anaerobic digestion of organic matter or waste. In this context, biogas plays an important role in the defossilization of the energy sector by reducing the carbon footprint, as it is a source of energy with net-zero CO</w:t>
      </w:r>
      <w:r w:rsidRPr="008F45BF">
        <w:rPr>
          <w:rFonts w:ascii="Cambria Math" w:hAnsi="Cambria Math" w:cs="Cambria Math"/>
          <w:lang w:val="en-GB"/>
        </w:rPr>
        <w:t>₂</w:t>
      </w:r>
      <w:r w:rsidRPr="008F45BF">
        <w:rPr>
          <w:lang w:val="en-GB"/>
        </w:rPr>
        <w:t xml:space="preserve"> emissions</w:t>
      </w:r>
      <w:r w:rsidR="00BC4AA8">
        <w:rPr>
          <w:lang w:val="en-GB"/>
        </w:rPr>
        <w:t xml:space="preserve"> </w:t>
      </w:r>
      <w:r w:rsidR="00E76D5C">
        <w:rPr>
          <w:lang w:val="en-GB"/>
        </w:rPr>
        <w:t>(Zhang et al. 2020)</w:t>
      </w:r>
      <w:r w:rsidRPr="008F45BF">
        <w:rPr>
          <w:lang w:val="en-GB"/>
        </w:rPr>
        <w:t xml:space="preserve">. Moreover, </w:t>
      </w:r>
      <w:r w:rsidR="00BD2578">
        <w:rPr>
          <w:lang w:val="en-GB"/>
        </w:rPr>
        <w:t xml:space="preserve">because it is derived from the valorization of waste, it </w:t>
      </w:r>
      <w:r w:rsidR="0024129E">
        <w:rPr>
          <w:lang w:val="en-GB"/>
        </w:rPr>
        <w:t xml:space="preserve">also </w:t>
      </w:r>
      <w:r w:rsidR="00BD2578">
        <w:rPr>
          <w:lang w:val="en-GB"/>
        </w:rPr>
        <w:t>contributes to energy security by enabling local,</w:t>
      </w:r>
      <w:r w:rsidRPr="008F45BF">
        <w:rPr>
          <w:lang w:val="en-GB"/>
        </w:rPr>
        <w:t xml:space="preserve"> sustainable energy production.</w:t>
      </w:r>
    </w:p>
    <w:p w14:paraId="3E12978F" w14:textId="6923B3D6" w:rsidR="00FA02EB" w:rsidRDefault="00FA02EB" w:rsidP="008F1B3D">
      <w:pPr>
        <w:pStyle w:val="CETheadingx"/>
        <w:rPr>
          <w:bCs w:val="0"/>
          <w:lang w:val="en-GB"/>
        </w:rPr>
      </w:pPr>
      <w:r w:rsidRPr="00FA02EB">
        <w:rPr>
          <w:bCs w:val="0"/>
          <w:lang w:val="en-GB"/>
        </w:rPr>
        <w:t>Biogas is generated via anaerobic digestion, a biologically mediated process in which microorganisms degrade organic matter under oxygen</w:t>
      </w:r>
      <w:r w:rsidRPr="00FA02EB">
        <w:rPr>
          <w:rFonts w:ascii="Cambria Math" w:hAnsi="Cambria Math" w:cs="Cambria Math"/>
          <w:bCs w:val="0"/>
          <w:lang w:val="en-GB"/>
        </w:rPr>
        <w:t>‑</w:t>
      </w:r>
      <w:r w:rsidRPr="00FA02EB">
        <w:rPr>
          <w:bCs w:val="0"/>
          <w:lang w:val="en-GB"/>
        </w:rPr>
        <w:t>free conditions. It consists primarily of methane (50</w:t>
      </w:r>
      <w:r w:rsidRPr="00FA02EB">
        <w:rPr>
          <w:rFonts w:cs="Arial"/>
          <w:bCs w:val="0"/>
          <w:lang w:val="en-GB"/>
        </w:rPr>
        <w:t>–</w:t>
      </w:r>
      <w:r w:rsidRPr="00FA02EB">
        <w:rPr>
          <w:bCs w:val="0"/>
          <w:lang w:val="en-GB"/>
        </w:rPr>
        <w:t>70%) and carbon dioxide (30</w:t>
      </w:r>
      <w:r w:rsidRPr="00FA02EB">
        <w:rPr>
          <w:rFonts w:cs="Arial"/>
          <w:bCs w:val="0"/>
          <w:lang w:val="en-GB"/>
        </w:rPr>
        <w:t>–</w:t>
      </w:r>
      <w:r w:rsidRPr="00FA02EB">
        <w:rPr>
          <w:bCs w:val="0"/>
          <w:lang w:val="en-GB"/>
        </w:rPr>
        <w:t xml:space="preserve">50%), with their relative proportions depending on substrate properties and operating parameters such as pH. Biogas also contains minor components, including water vapor, nitrogen, oxygen, hydrogen sulfide, and other </w:t>
      </w:r>
      <w:r w:rsidRPr="00FA02EB">
        <w:rPr>
          <w:bCs w:val="0"/>
          <w:lang w:val="en-GB"/>
        </w:rPr>
        <w:lastRenderedPageBreak/>
        <w:t>trace impurities</w:t>
      </w:r>
      <w:r>
        <w:rPr>
          <w:bCs w:val="0"/>
          <w:lang w:val="en-GB"/>
        </w:rPr>
        <w:t xml:space="preserve"> (Angelidaki et al. 2018)</w:t>
      </w:r>
      <w:r w:rsidRPr="00FA02EB">
        <w:rPr>
          <w:bCs w:val="0"/>
          <w:lang w:val="en-GB"/>
        </w:rPr>
        <w:t>, which affect both its energy quality and downstream processing requirements. While methane is the principal energy carrier, the presence of CO</w:t>
      </w:r>
      <w:r w:rsidRPr="00FA02EB">
        <w:rPr>
          <w:rFonts w:ascii="Cambria Math" w:hAnsi="Cambria Math" w:cs="Cambria Math"/>
          <w:bCs w:val="0"/>
          <w:lang w:val="en-GB"/>
        </w:rPr>
        <w:t>₂</w:t>
      </w:r>
      <w:r w:rsidRPr="00FA02EB">
        <w:rPr>
          <w:bCs w:val="0"/>
          <w:lang w:val="en-GB"/>
        </w:rPr>
        <w:t xml:space="preserve"> reduces the calorific value and combustion efficiency, and contaminants such as H</w:t>
      </w:r>
      <w:r w:rsidRPr="00FA02EB">
        <w:rPr>
          <w:rFonts w:ascii="Cambria Math" w:hAnsi="Cambria Math" w:cs="Cambria Math"/>
          <w:bCs w:val="0"/>
          <w:lang w:val="en-GB"/>
        </w:rPr>
        <w:t>₂</w:t>
      </w:r>
      <w:r w:rsidRPr="00FA02EB">
        <w:rPr>
          <w:bCs w:val="0"/>
          <w:lang w:val="en-GB"/>
        </w:rPr>
        <w:t>S and moisture cause corrosion and equipment degradation. Consequently, upgrading biogas to biomethane with methane concentrations typically above 90–97% is essential for its efficient use in high</w:t>
      </w:r>
      <w:r w:rsidRPr="00FA02EB">
        <w:rPr>
          <w:rFonts w:ascii="Cambria Math" w:hAnsi="Cambria Math" w:cs="Cambria Math"/>
          <w:bCs w:val="0"/>
          <w:lang w:val="en-GB"/>
        </w:rPr>
        <w:t>‑</w:t>
      </w:r>
      <w:r w:rsidRPr="00FA02EB">
        <w:rPr>
          <w:bCs w:val="0"/>
          <w:lang w:val="en-GB"/>
        </w:rPr>
        <w:t>value applications such as grid injection, transportation fuels, and chemical feedstocks.</w:t>
      </w:r>
    </w:p>
    <w:p w14:paraId="5A3F7272" w14:textId="4F45A688" w:rsidR="008F1B3D" w:rsidRDefault="008F1B3D" w:rsidP="008F1B3D">
      <w:pPr>
        <w:pStyle w:val="CETheadingx"/>
      </w:pPr>
      <w:r w:rsidRPr="008F1B3D">
        <w:t>Biogas upgrading relies mainly on physicochemical separation processes designed to remove CO</w:t>
      </w:r>
      <w:r w:rsidRPr="008F1B3D">
        <w:rPr>
          <w:rFonts w:ascii="Cambria Math" w:hAnsi="Cambria Math" w:cs="Cambria Math"/>
        </w:rPr>
        <w:t>₂</w:t>
      </w:r>
      <w:r w:rsidRPr="008F1B3D">
        <w:t xml:space="preserve"> and other impurities while preserving methane. The most established approaches include absorption, adsorption, membrane separation, cryogenic processes, and emerging biological routes. Water scrubbing is the most mature and widely applied absorption technology, achieving high methane purities by exploiting the greater solubility of CO</w:t>
      </w:r>
      <w:r w:rsidRPr="008F1B3D">
        <w:rPr>
          <w:rFonts w:ascii="Cambria Math" w:hAnsi="Cambria Math" w:cs="Cambria Math"/>
        </w:rPr>
        <w:t>₂</w:t>
      </w:r>
      <w:r w:rsidRPr="008F1B3D">
        <w:t xml:space="preserve"> and H</w:t>
      </w:r>
      <w:r w:rsidRPr="008F1B3D">
        <w:rPr>
          <w:rFonts w:ascii="Cambria Math" w:hAnsi="Cambria Math" w:cs="Cambria Math"/>
        </w:rPr>
        <w:t>₂</w:t>
      </w:r>
      <w:r w:rsidRPr="008F1B3D">
        <w:t>S in water</w:t>
      </w:r>
      <w:r w:rsidR="00FA3C7F">
        <w:t>. However,</w:t>
      </w:r>
      <w:r w:rsidRPr="008F1B3D">
        <w:t xml:space="preserve"> it requires significant water and compression energy. Organic scrubbing and amine-based chemical absorption offer higher CO</w:t>
      </w:r>
      <w:r w:rsidRPr="008F1B3D">
        <w:rPr>
          <w:rFonts w:ascii="Cambria Math" w:hAnsi="Cambria Math" w:cs="Cambria Math"/>
        </w:rPr>
        <w:t>₂</w:t>
      </w:r>
      <w:r w:rsidRPr="008F1B3D">
        <w:t xml:space="preserve"> selectivity and biomethane purity with lower methane losses, but at the cost of increased operational complexity, energy demand, and operating expenses. Adsorption technologies such as pressure swing adsorption (PSA) use solid sorbents and benefit from dry</w:t>
      </w:r>
      <w:r w:rsidR="0024129E">
        <w:t xml:space="preserve"> and</w:t>
      </w:r>
      <w:r w:rsidR="0024129E" w:rsidRPr="008F1B3D">
        <w:t xml:space="preserve"> </w:t>
      </w:r>
      <w:r w:rsidRPr="008F1B3D">
        <w:t>modular operation, though they often experience higher methane slip and complex process control. Membrane separation has gained popularity due to its compactness, scalability, and relatively low energy consumption, achieving high biomethane purities in multistage configurations despite inherent methane losses. Cryogenic upgrading enables the production of very high-purity biomethane and liquefied CO</w:t>
      </w:r>
      <w:r w:rsidRPr="008F1B3D">
        <w:rPr>
          <w:rFonts w:ascii="Cambria Math" w:hAnsi="Cambria Math" w:cs="Cambria Math"/>
        </w:rPr>
        <w:t>₂</w:t>
      </w:r>
      <w:r w:rsidRPr="008F1B3D">
        <w:t xml:space="preserve"> by exploiting differences in condensation temperatures, but its high capital cost and energy demand limit large-scale deployment. In parallel, biological upgrading technologies, based on hydrogenotrophic methanation either in situ or ex situ, are emerging as promising low</w:t>
      </w:r>
      <w:r w:rsidRPr="008F1B3D">
        <w:rPr>
          <w:rFonts w:ascii="Cambria Math" w:hAnsi="Cambria Math" w:cs="Cambria Math"/>
        </w:rPr>
        <w:t>‑</w:t>
      </w:r>
      <w:r w:rsidRPr="008F1B3D">
        <w:t>carbon alternatives with the potential to reduce energy consumption, minimize methane losses, and support power</w:t>
      </w:r>
      <w:r w:rsidRPr="008F1B3D">
        <w:rPr>
          <w:rFonts w:ascii="Cambria Math" w:hAnsi="Cambria Math" w:cs="Cambria Math"/>
        </w:rPr>
        <w:t>‑</w:t>
      </w:r>
      <w:r w:rsidRPr="008F1B3D">
        <w:t>to</w:t>
      </w:r>
      <w:r w:rsidRPr="008F1B3D">
        <w:rPr>
          <w:rFonts w:ascii="Cambria Math" w:hAnsi="Cambria Math" w:cs="Cambria Math"/>
        </w:rPr>
        <w:t>‑</w:t>
      </w:r>
      <w:r w:rsidRPr="008F1B3D">
        <w:t>gas integration</w:t>
      </w:r>
      <w:r w:rsidR="004F717C">
        <w:t xml:space="preserve"> (</w:t>
      </w:r>
      <w:r w:rsidR="00AB4014">
        <w:t>Kapoor et al. 2019</w:t>
      </w:r>
      <w:r w:rsidR="004F717C">
        <w:t>)</w:t>
      </w:r>
      <w:r w:rsidR="00FA3C7F">
        <w:t>. However,</w:t>
      </w:r>
      <w:r w:rsidRPr="008F1B3D">
        <w:t xml:space="preserve"> they remain largely at pilot and demonstration scale.</w:t>
      </w:r>
    </w:p>
    <w:p w14:paraId="669FE149" w14:textId="75F04E70" w:rsidR="001352AA" w:rsidRDefault="00D82AB6" w:rsidP="001352AA">
      <w:pPr>
        <w:pStyle w:val="CETBodytext"/>
        <w:spacing w:after="120"/>
      </w:pPr>
      <w:r w:rsidRPr="00D82AB6">
        <w:t xml:space="preserve">Recently, </w:t>
      </w:r>
      <w:r w:rsidR="00CC4903">
        <w:t>e</w:t>
      </w:r>
      <w:r w:rsidR="00CC4903" w:rsidRPr="00CC4903">
        <w:t>lectrochemical biogas upgrading has emerged as a promising alternative to conventional routes, enabling the direct conversion of CO</w:t>
      </w:r>
      <w:r w:rsidR="00CC4903" w:rsidRPr="00CC4903">
        <w:rPr>
          <w:rFonts w:ascii="Cambria Math" w:hAnsi="Cambria Math" w:cs="Cambria Math"/>
        </w:rPr>
        <w:t>₂</w:t>
      </w:r>
      <w:r w:rsidR="00CC4903" w:rsidRPr="00CC4903">
        <w:t xml:space="preserve"> in raw biogas into methane without prior separation. This approach reduces upgrading costs, valorizes CO</w:t>
      </w:r>
      <w:r w:rsidR="00CC4903" w:rsidRPr="00CC4903">
        <w:rPr>
          <w:rFonts w:ascii="Cambria Math" w:hAnsi="Cambria Math" w:cs="Cambria Math"/>
        </w:rPr>
        <w:t>₂</w:t>
      </w:r>
      <w:r w:rsidR="00CC4903" w:rsidRPr="00CC4903">
        <w:t xml:space="preserve"> instead of discarding it, and enhances carbon utilization. When powered by renewable electricity, it also provides a pathway for storing renewable energy as chemical energy in methane</w:t>
      </w:r>
      <w:r w:rsidR="00D03792">
        <w:t xml:space="preserve"> (Biswas et al. 2025)</w:t>
      </w:r>
      <w:r>
        <w:t>.</w:t>
      </w:r>
    </w:p>
    <w:p w14:paraId="55637497" w14:textId="54199EFE" w:rsidR="001352AA" w:rsidRDefault="001352AA" w:rsidP="001352AA">
      <w:pPr>
        <w:pStyle w:val="CETBodytext"/>
        <w:spacing w:after="120"/>
      </w:pPr>
      <w:r w:rsidRPr="001352AA">
        <w:t>Electrochemical CO</w:t>
      </w:r>
      <w:r w:rsidRPr="001352AA">
        <w:rPr>
          <w:rFonts w:ascii="Cambria Math" w:hAnsi="Cambria Math" w:cs="Cambria Math"/>
        </w:rPr>
        <w:t>₂</w:t>
      </w:r>
      <w:r w:rsidRPr="001352AA">
        <w:t xml:space="preserve"> reduction to methane traditionally relies on metallic catalysts, with copper</w:t>
      </w:r>
      <w:r w:rsidRPr="001352AA">
        <w:rPr>
          <w:rFonts w:ascii="Cambria Math" w:hAnsi="Cambria Math" w:cs="Cambria Math"/>
        </w:rPr>
        <w:t>‑</w:t>
      </w:r>
      <w:r w:rsidRPr="001352AA">
        <w:t xml:space="preserve">based materials standing out </w:t>
      </w:r>
      <w:r w:rsidR="00F52836">
        <w:t>for</w:t>
      </w:r>
      <w:r w:rsidRPr="001352AA">
        <w:t xml:space="preserve"> promoting the full eight</w:t>
      </w:r>
      <w:r w:rsidRPr="001352AA">
        <w:rPr>
          <w:rFonts w:ascii="Cambria Math" w:hAnsi="Cambria Math" w:cs="Cambria Math"/>
        </w:rPr>
        <w:t>‑</w:t>
      </w:r>
      <w:r w:rsidRPr="001352AA">
        <w:t>electron reduction pathway toward CH</w:t>
      </w:r>
      <w:r w:rsidRPr="001352AA">
        <w:rPr>
          <w:rFonts w:ascii="Cambria Math" w:hAnsi="Cambria Math" w:cs="Cambria Math"/>
        </w:rPr>
        <w:t>₄</w:t>
      </w:r>
      <w:r w:rsidRPr="001352AA">
        <w:t xml:space="preserve">. Beyond these traditional systems, novel catalyst </w:t>
      </w:r>
      <w:r w:rsidR="00F52836">
        <w:t>materials</w:t>
      </w:r>
      <w:r w:rsidRPr="001352AA">
        <w:t xml:space="preserve"> are emerging to overcome selectivity and stability limitations. Metal–organic frameworks (MOFs) offer atomically precise and tunable metal coordination environments, enabling control over *CO adsorption strength and hydrogenation barriers; Cu</w:t>
      </w:r>
      <w:r w:rsidRPr="001352AA">
        <w:rPr>
          <w:rFonts w:ascii="Cambria Math" w:hAnsi="Cambria Math" w:cs="Cambria Math"/>
        </w:rPr>
        <w:t>‑</w:t>
      </w:r>
      <w:r w:rsidRPr="001352AA">
        <w:t>based MOFs, in particular, have demonstrated high CH</w:t>
      </w:r>
      <w:r w:rsidRPr="001352AA">
        <w:rPr>
          <w:rFonts w:ascii="Cambria Math" w:hAnsi="Cambria Math" w:cs="Cambria Math"/>
        </w:rPr>
        <w:t>₄</w:t>
      </w:r>
      <w:r w:rsidRPr="001352AA">
        <w:t xml:space="preserve"> selectivity by confining reaction intermediates and modulating electronic structure through ligand</w:t>
      </w:r>
      <w:r w:rsidRPr="001352AA">
        <w:rPr>
          <w:rFonts w:cs="Arial"/>
        </w:rPr>
        <w:t>–</w:t>
      </w:r>
      <w:r w:rsidRPr="001352AA">
        <w:t>metal interactions. Similarly, graphene quantum dots (GQDs), especially when heteroatom</w:t>
      </w:r>
      <w:r w:rsidRPr="001352AA">
        <w:rPr>
          <w:rFonts w:ascii="Cambria Math" w:hAnsi="Cambria Math" w:cs="Cambria Math"/>
        </w:rPr>
        <w:t>‑</w:t>
      </w:r>
      <w:r w:rsidRPr="001352AA">
        <w:t>doped, provide high edge densities and localized electronic states that promote CO</w:t>
      </w:r>
      <w:r w:rsidRPr="001352AA">
        <w:rPr>
          <w:rFonts w:ascii="Cambria Math" w:hAnsi="Cambria Math" w:cs="Cambria Math"/>
        </w:rPr>
        <w:t>₂</w:t>
      </w:r>
      <w:r w:rsidRPr="001352AA">
        <w:t xml:space="preserve"> activation and stabilize hydrogenated intermediates under relatively low overpotentials</w:t>
      </w:r>
      <w:r w:rsidR="00A9042D">
        <w:t xml:space="preserve"> (Gao et al. 2025)</w:t>
      </w:r>
      <w:r w:rsidRPr="001352AA">
        <w:t>.</w:t>
      </w:r>
    </w:p>
    <w:p w14:paraId="294BBED7" w14:textId="14F41376" w:rsidR="001352AA" w:rsidRDefault="00F52836" w:rsidP="001352AA">
      <w:pPr>
        <w:pStyle w:val="CETBodytext"/>
        <w:spacing w:after="120"/>
      </w:pPr>
      <w:r>
        <w:t xml:space="preserve">These catalysts are then employed in an electrochemical reactor. In this </w:t>
      </w:r>
      <w:r w:rsidR="0024129E">
        <w:t>context</w:t>
      </w:r>
      <w:r>
        <w:t xml:space="preserve">, </w:t>
      </w:r>
      <w:r w:rsidRPr="00F52836">
        <w:t>Membrane electrode assembly (MEA), or zero</w:t>
      </w:r>
      <w:r w:rsidRPr="00F52836">
        <w:rPr>
          <w:rFonts w:ascii="Cambria Math" w:hAnsi="Cambria Math" w:cs="Cambria Math"/>
        </w:rPr>
        <w:t>‑</w:t>
      </w:r>
      <w:r w:rsidRPr="00F52836">
        <w:t xml:space="preserve">gap, reactor </w:t>
      </w:r>
      <w:r w:rsidR="0024129E">
        <w:t xml:space="preserve">configurations </w:t>
      </w:r>
      <w:r w:rsidRPr="00F52836">
        <w:t>are among the most advanced configurations for electrochemical CO</w:t>
      </w:r>
      <w:r w:rsidRPr="00F52836">
        <w:rPr>
          <w:rFonts w:ascii="Cambria Math" w:hAnsi="Cambria Math" w:cs="Cambria Math"/>
        </w:rPr>
        <w:t>₂‑</w:t>
      </w:r>
      <w:r w:rsidRPr="00F52836">
        <w:t>to</w:t>
      </w:r>
      <w:r w:rsidRPr="00F52836">
        <w:rPr>
          <w:rFonts w:ascii="Cambria Math" w:hAnsi="Cambria Math" w:cs="Cambria Math"/>
        </w:rPr>
        <w:t>‑</w:t>
      </w:r>
      <w:r w:rsidRPr="00F52836">
        <w:t>CH</w:t>
      </w:r>
      <w:r w:rsidRPr="00F52836">
        <w:rPr>
          <w:rFonts w:ascii="Cambria Math" w:hAnsi="Cambria Math" w:cs="Cambria Math"/>
        </w:rPr>
        <w:t>₄</w:t>
      </w:r>
      <w:r w:rsidRPr="00F52836">
        <w:t xml:space="preserve"> conversion, as they place the catalytic layers directly against an ion</w:t>
      </w:r>
      <w:r w:rsidRPr="00F52836">
        <w:rPr>
          <w:rFonts w:ascii="Cambria Math" w:hAnsi="Cambria Math" w:cs="Cambria Math"/>
        </w:rPr>
        <w:t>‑</w:t>
      </w:r>
      <w:r w:rsidRPr="00F52836">
        <w:t>exchange membrane, minimizing ohmic losses and eliminating liquid catholytes. CO</w:t>
      </w:r>
      <w:r w:rsidRPr="00F52836">
        <w:rPr>
          <w:rFonts w:ascii="Cambria Math" w:hAnsi="Cambria Math" w:cs="Cambria Math"/>
        </w:rPr>
        <w:t>₂</w:t>
      </w:r>
      <w:r w:rsidRPr="00F52836">
        <w:t xml:space="preserve"> is supplied through a gas diffusion electrode, enabling high reactant availability and current densities above 100–300 mA cm</w:t>
      </w:r>
      <w:r w:rsidRPr="00F52836">
        <w:rPr>
          <w:rFonts w:ascii="Cambria Math" w:hAnsi="Cambria Math" w:cs="Cambria Math"/>
        </w:rPr>
        <w:t>⁻</w:t>
      </w:r>
      <w:r w:rsidRPr="00F52836">
        <w:rPr>
          <w:rFonts w:cs="Arial"/>
        </w:rPr>
        <w:t>²</w:t>
      </w:r>
      <w:r w:rsidRPr="00F52836">
        <w:t>, while methane production benefits from limited product crossover due to its gaseous nature. The reviewed studies report stable operation of AEM</w:t>
      </w:r>
      <w:r w:rsidRPr="00F52836">
        <w:rPr>
          <w:rFonts w:ascii="Cambria Math" w:hAnsi="Cambria Math" w:cs="Cambria Math"/>
        </w:rPr>
        <w:t>‑</w:t>
      </w:r>
      <w:r w:rsidRPr="00F52836">
        <w:t>based MEA reactors with Cu</w:t>
      </w:r>
      <w:r w:rsidRPr="00F52836">
        <w:rPr>
          <w:rFonts w:ascii="Cambria Math" w:hAnsi="Cambria Math" w:cs="Cambria Math"/>
        </w:rPr>
        <w:t>‑</w:t>
      </w:r>
      <w:r w:rsidRPr="00F52836">
        <w:t>based catalysts, achieving methane selectivities of ~55–70% over extended operation times (up to ~100 h)</w:t>
      </w:r>
      <w:r w:rsidR="00A9042D">
        <w:t xml:space="preserve"> (Biswas et al. 2025)</w:t>
      </w:r>
      <w:r w:rsidRPr="00F52836">
        <w:t>. However, carbonate precipitation and membrane degradation under alkaline conditions remain key challenges, as they hinder CO</w:t>
      </w:r>
      <w:r w:rsidRPr="00F52836">
        <w:rPr>
          <w:rFonts w:ascii="Cambria Math" w:hAnsi="Cambria Math" w:cs="Cambria Math"/>
        </w:rPr>
        <w:t>₂</w:t>
      </w:r>
      <w:r w:rsidRPr="00F52836">
        <w:t xml:space="preserve"> transport and promote hydrogen evolution. Despite these limitations, the compact design, low resistance, and scalability of MEA systems make them one of the most promising reactor platforms for industrial CO</w:t>
      </w:r>
      <w:r w:rsidRPr="00F52836">
        <w:rPr>
          <w:rFonts w:ascii="Cambria Math" w:hAnsi="Cambria Math" w:cs="Cambria Math"/>
        </w:rPr>
        <w:t>₂‑</w:t>
      </w:r>
      <w:r w:rsidRPr="00F52836">
        <w:t>to</w:t>
      </w:r>
      <w:r w:rsidRPr="00F52836">
        <w:rPr>
          <w:rFonts w:ascii="Cambria Math" w:hAnsi="Cambria Math" w:cs="Cambria Math"/>
        </w:rPr>
        <w:t>‑</w:t>
      </w:r>
      <w:r w:rsidRPr="00F52836">
        <w:t>CH</w:t>
      </w:r>
      <w:r w:rsidRPr="00F52836">
        <w:rPr>
          <w:rFonts w:ascii="Cambria Math" w:hAnsi="Cambria Math" w:cs="Cambria Math"/>
        </w:rPr>
        <w:t>₄</w:t>
      </w:r>
      <w:r w:rsidRPr="00F52836">
        <w:t xml:space="preserve"> electrolysis.</w:t>
      </w:r>
    </w:p>
    <w:p w14:paraId="69B53422" w14:textId="0A79D67A" w:rsidR="00F52836" w:rsidRDefault="00F52836" w:rsidP="001352AA">
      <w:pPr>
        <w:pStyle w:val="CETBodytext"/>
        <w:spacing w:after="120"/>
      </w:pPr>
      <w:r w:rsidRPr="00F52836">
        <w:t xml:space="preserve">Within this context, the present work, </w:t>
      </w:r>
      <w:r w:rsidR="0024129E">
        <w:t>carried out</w:t>
      </w:r>
      <w:r w:rsidR="0024129E" w:rsidRPr="00F52836">
        <w:t xml:space="preserve"> </w:t>
      </w:r>
      <w:r w:rsidRPr="00F52836">
        <w:t>under the ELECTROMET project, aims to assess the development of a CO</w:t>
      </w:r>
      <w:r w:rsidRPr="00F52836">
        <w:rPr>
          <w:rFonts w:ascii="Cambria Math" w:hAnsi="Cambria Math" w:cs="Cambria Math"/>
        </w:rPr>
        <w:t>₂</w:t>
      </w:r>
      <w:r w:rsidRPr="00F52836">
        <w:t xml:space="preserve"> electrolyzer for the electrochemical upgrading of biogas from a pilot</w:t>
      </w:r>
      <w:r w:rsidRPr="00F52836">
        <w:rPr>
          <w:rFonts w:ascii="Cambria Math" w:hAnsi="Cambria Math" w:cs="Cambria Math"/>
        </w:rPr>
        <w:t>‑</w:t>
      </w:r>
      <w:r w:rsidRPr="00F52836">
        <w:t>scale plant through a multi</w:t>
      </w:r>
      <w:r w:rsidRPr="00F52836">
        <w:rPr>
          <w:rFonts w:ascii="Cambria Math" w:hAnsi="Cambria Math" w:cs="Cambria Math"/>
        </w:rPr>
        <w:t>‑</w:t>
      </w:r>
      <w:r w:rsidRPr="00F52836">
        <w:t xml:space="preserve">stage approach. The first stage focuses on catalyst development, primarily targeting the synthesis of MOFs </w:t>
      </w:r>
      <w:r w:rsidRPr="006B625B">
        <w:t xml:space="preserve">and </w:t>
      </w:r>
      <w:r w:rsidR="004923BA" w:rsidRPr="006B625B">
        <w:t>non-metallic catalyst</w:t>
      </w:r>
      <w:r w:rsidR="00CD5014">
        <w:t>s</w:t>
      </w:r>
      <w:r w:rsidR="004923BA" w:rsidRPr="006B625B">
        <w:t xml:space="preserve"> based on doped graphene quantum dots (</w:t>
      </w:r>
      <w:r w:rsidRPr="006B625B">
        <w:t>GQDs</w:t>
      </w:r>
      <w:r w:rsidR="004923BA" w:rsidRPr="006B625B">
        <w:t>)</w:t>
      </w:r>
      <w:r w:rsidRPr="006B625B">
        <w:t xml:space="preserve">, as </w:t>
      </w:r>
      <w:r w:rsidRPr="00F52836">
        <w:t xml:space="preserve">well as the design of GDEs to maximize methane production. In the second stage, </w:t>
      </w:r>
      <w:r w:rsidR="00B665A6">
        <w:t>an</w:t>
      </w:r>
      <w:r w:rsidRPr="00F52836">
        <w:t xml:space="preserve"> </w:t>
      </w:r>
      <w:r w:rsidR="00B665A6">
        <w:t xml:space="preserve">MEA </w:t>
      </w:r>
      <w:r w:rsidRPr="00F52836">
        <w:t>electrolyzer is designed for CO</w:t>
      </w:r>
      <w:r w:rsidRPr="00F52836">
        <w:rPr>
          <w:rFonts w:ascii="Cambria Math" w:hAnsi="Cambria Math" w:cs="Cambria Math"/>
        </w:rPr>
        <w:t>₂‑</w:t>
      </w:r>
      <w:r w:rsidRPr="00F52836">
        <w:t>to</w:t>
      </w:r>
      <w:r w:rsidRPr="00F52836">
        <w:rPr>
          <w:rFonts w:ascii="Cambria Math" w:hAnsi="Cambria Math" w:cs="Cambria Math"/>
        </w:rPr>
        <w:t>‑</w:t>
      </w:r>
      <w:r w:rsidRPr="00F52836">
        <w:t>CH</w:t>
      </w:r>
      <w:r w:rsidRPr="00F52836">
        <w:rPr>
          <w:rFonts w:ascii="Cambria Math" w:hAnsi="Cambria Math" w:cs="Cambria Math"/>
        </w:rPr>
        <w:t>₄</w:t>
      </w:r>
      <w:r w:rsidRPr="00F52836">
        <w:t xml:space="preserve"> conversion and operated using real biogas streams to evaluate its performance in direct biogas upgrading. Finally, a 100 cm² electrolyzer will be integrated into a pilot</w:t>
      </w:r>
      <w:r w:rsidRPr="00F52836">
        <w:rPr>
          <w:rFonts w:ascii="Cambria Math" w:hAnsi="Cambria Math" w:cs="Cambria Math"/>
        </w:rPr>
        <w:t>‑</w:t>
      </w:r>
      <w:r w:rsidRPr="00F52836">
        <w:t>scale biogas plant to validate the technology under real operating conditions and assess its technological readiness in an industrially relevant environment.</w:t>
      </w:r>
    </w:p>
    <w:p w14:paraId="2A38ADAF" w14:textId="77777777" w:rsidR="00C12AD1" w:rsidRDefault="00C12AD1" w:rsidP="001352AA">
      <w:pPr>
        <w:pStyle w:val="CETBodytext"/>
        <w:spacing w:after="120"/>
      </w:pPr>
    </w:p>
    <w:p w14:paraId="2C1A11DF" w14:textId="11758F0D" w:rsidR="00B665A6" w:rsidRDefault="00B665A6" w:rsidP="00B665A6">
      <w:pPr>
        <w:pStyle w:val="CETHeading1"/>
        <w:rPr>
          <w:lang w:val="en-GB"/>
        </w:rPr>
      </w:pPr>
      <w:r>
        <w:rPr>
          <w:lang w:val="en-GB"/>
        </w:rPr>
        <w:lastRenderedPageBreak/>
        <w:t>Methodology</w:t>
      </w:r>
    </w:p>
    <w:p w14:paraId="4F4E30C3" w14:textId="77777777" w:rsidR="0060667D" w:rsidRPr="006B625B" w:rsidRDefault="0060667D" w:rsidP="0060667D">
      <w:pPr>
        <w:pStyle w:val="CETBodytext"/>
        <w:rPr>
          <w:b/>
          <w:bCs/>
          <w:lang w:val="en-GB"/>
        </w:rPr>
      </w:pPr>
      <w:r w:rsidRPr="006B625B">
        <w:rPr>
          <w:b/>
          <w:bCs/>
          <w:lang w:val="en-GB"/>
        </w:rPr>
        <w:t>2.1 Catalyst Synthesis</w:t>
      </w:r>
    </w:p>
    <w:p w14:paraId="05B178CB" w14:textId="77777777" w:rsidR="0060667D" w:rsidRPr="006B625B" w:rsidRDefault="0060667D" w:rsidP="0060667D">
      <w:pPr>
        <w:pStyle w:val="CETBodytext"/>
        <w:rPr>
          <w:lang w:val="en-GB"/>
        </w:rPr>
      </w:pPr>
    </w:p>
    <w:p w14:paraId="338AAC35" w14:textId="28ADEF90" w:rsidR="00CA338A" w:rsidRDefault="0060667D" w:rsidP="0060667D">
      <w:pPr>
        <w:pStyle w:val="CETBodytext"/>
        <w:rPr>
          <w:lang w:val="en-GB"/>
        </w:rPr>
      </w:pPr>
      <w:r w:rsidRPr="006B625B">
        <w:rPr>
          <w:lang w:val="en-GB"/>
        </w:rPr>
        <w:t>Non-metallic catalysts were synthesized via a hydrothermal approach to produce four types of doped graphene quantum dots (GQDs): nitrogen-doped (GQDs-N), sulfur-doped (GQDs-S), boron-doped (GQDs-B), and nitrogen/sulfur co-doped (GQDs-N,S). Citric acid was employed as the carbon precursor in all cases, while ethylenediamine, sodium thiosulfate, and boric acid were used as nitrogen (N), sulfur (S), and boron (B) sources, respectively. The molar ratio between citric acid and the dopant precursor was fixed at 1.6, corresponding to 0.10 M citric acid and 0.17 M dopant concentration</w:t>
      </w:r>
      <w:r w:rsidR="00CA338A">
        <w:rPr>
          <w:lang w:val="en-GB"/>
        </w:rPr>
        <w:t xml:space="preserve"> (for all dopants, respectively)</w:t>
      </w:r>
      <w:r w:rsidRPr="006B625B">
        <w:rPr>
          <w:lang w:val="en-GB"/>
        </w:rPr>
        <w:t xml:space="preserve">. </w:t>
      </w:r>
    </w:p>
    <w:p w14:paraId="2A333871" w14:textId="04545D44" w:rsidR="0060667D" w:rsidRPr="006B625B" w:rsidRDefault="0060667D" w:rsidP="0060667D">
      <w:pPr>
        <w:pStyle w:val="CETBodytext"/>
        <w:rPr>
          <w:lang w:val="en-GB"/>
        </w:rPr>
      </w:pPr>
      <w:r w:rsidRPr="006B625B">
        <w:rPr>
          <w:lang w:val="en-GB"/>
        </w:rPr>
        <w:t>All syntheses were carried out in an aqueous medium using a hydrothermal reactor (</w:t>
      </w:r>
      <w:r w:rsidR="004923BA" w:rsidRPr="006B625B">
        <w:rPr>
          <w:lang w:val="en-GB"/>
        </w:rPr>
        <w:t>Parr Series 4560 Mini Bench, Parr Instrument</w:t>
      </w:r>
      <w:r w:rsidRPr="006B625B">
        <w:rPr>
          <w:lang w:val="en-GB"/>
        </w:rPr>
        <w:t>) with a total working volume of 200 mL, equipped with temperature control and constant mechanical stirring. The reaction system was maintained at 180 °C for 4 h under autogenous pressure.</w:t>
      </w:r>
      <w:r w:rsidR="00A32B93">
        <w:rPr>
          <w:lang w:val="en-GB"/>
        </w:rPr>
        <w:t xml:space="preserve"> </w:t>
      </w:r>
      <w:r w:rsidRPr="006B625B">
        <w:rPr>
          <w:lang w:val="en-GB"/>
        </w:rPr>
        <w:t xml:space="preserve">Following synthesis, the </w:t>
      </w:r>
      <w:r w:rsidR="004923BA" w:rsidRPr="006B625B">
        <w:rPr>
          <w:lang w:val="en-GB"/>
        </w:rPr>
        <w:t>non-metallic catalysts</w:t>
      </w:r>
      <w:r w:rsidRPr="006B625B">
        <w:rPr>
          <w:lang w:val="en-GB"/>
        </w:rPr>
        <w:t xml:space="preserve"> were purified by dialysis using a membrane with a molecular weight cutoff (MWCO) of 1 kDa. The purification process was conducted over 24 h under continuous magnetic stirring to facilitate the removal of unreacted precursors, residual salts, and low-molecular-weight by-products generated during the hydrothermal treatment. The dialysis medium was periodically refreshed to sustain an effective concentration gradient and enhance purification efficiency. After purification, the GQD suspensions were collected and stored in the dark at 4 °C to prevent photodegradation and preserve their physicochemical properties.</w:t>
      </w:r>
    </w:p>
    <w:p w14:paraId="0A0916DA" w14:textId="77777777" w:rsidR="0060667D" w:rsidRDefault="0060667D" w:rsidP="0060667D">
      <w:pPr>
        <w:pStyle w:val="CETBodytext"/>
        <w:rPr>
          <w:lang w:val="en-GB"/>
        </w:rPr>
      </w:pPr>
    </w:p>
    <w:p w14:paraId="6D88A1E2" w14:textId="729B4CF0" w:rsidR="00C56E59" w:rsidRPr="0060667D" w:rsidRDefault="006164C5" w:rsidP="0060667D">
      <w:pPr>
        <w:pStyle w:val="CETBodytext"/>
        <w:rPr>
          <w:lang w:val="en-GB"/>
        </w:rPr>
      </w:pPr>
      <w:r>
        <w:rPr>
          <w:lang w:val="en-GB"/>
        </w:rPr>
        <w:t xml:space="preserve">The material employed for the preparation of the MOF-based materials </w:t>
      </w:r>
      <w:r w:rsidR="002C1D11">
        <w:rPr>
          <w:lang w:val="en-GB"/>
        </w:rPr>
        <w:t xml:space="preserve">was </w:t>
      </w:r>
      <w:r w:rsidRPr="006164C5">
        <w:rPr>
          <w:lang w:val="en-GB"/>
        </w:rPr>
        <w:t>Zirconium (IV) chloride (ZrCl4, &gt;99.5 %), copper nitrate trihydrate (Cu(NO</w:t>
      </w:r>
      <w:r w:rsidRPr="006164C5">
        <w:rPr>
          <w:vertAlign w:val="subscript"/>
          <w:lang w:val="en-GB"/>
        </w:rPr>
        <w:t>3</w:t>
      </w:r>
      <w:r w:rsidRPr="006164C5">
        <w:rPr>
          <w:lang w:val="en-GB"/>
        </w:rPr>
        <w:t>)</w:t>
      </w:r>
      <w:r w:rsidRPr="006164C5">
        <w:rPr>
          <w:vertAlign w:val="subscript"/>
          <w:lang w:val="en-GB"/>
        </w:rPr>
        <w:t>2</w:t>
      </w:r>
      <w:r w:rsidRPr="006164C5">
        <w:rPr>
          <w:lang w:val="en-GB"/>
        </w:rPr>
        <w:t>·3H</w:t>
      </w:r>
      <w:r w:rsidRPr="006164C5">
        <w:rPr>
          <w:vertAlign w:val="subscript"/>
          <w:lang w:val="en-GB"/>
        </w:rPr>
        <w:t>2</w:t>
      </w:r>
      <w:r w:rsidRPr="006164C5">
        <w:rPr>
          <w:lang w:val="en-GB"/>
        </w:rPr>
        <w:t>O, 99 %), copper acetate (Cu(CH</w:t>
      </w:r>
      <w:r w:rsidRPr="006164C5">
        <w:rPr>
          <w:vertAlign w:val="subscript"/>
          <w:lang w:val="en-GB"/>
        </w:rPr>
        <w:t>3</w:t>
      </w:r>
      <w:r w:rsidRPr="006164C5">
        <w:rPr>
          <w:lang w:val="en-GB"/>
        </w:rPr>
        <w:t>COO)</w:t>
      </w:r>
      <w:r w:rsidRPr="006164C5">
        <w:rPr>
          <w:vertAlign w:val="subscript"/>
          <w:lang w:val="en-GB"/>
        </w:rPr>
        <w:t>2</w:t>
      </w:r>
      <w:r w:rsidRPr="006164C5">
        <w:rPr>
          <w:lang w:val="en-GB"/>
        </w:rPr>
        <w:t>·H</w:t>
      </w:r>
      <w:r w:rsidRPr="006164C5">
        <w:rPr>
          <w:vertAlign w:val="subscript"/>
          <w:lang w:val="en-GB"/>
        </w:rPr>
        <w:t>2</w:t>
      </w:r>
      <w:r w:rsidRPr="006164C5">
        <w:rPr>
          <w:lang w:val="en-GB"/>
        </w:rPr>
        <w:t>O, 98 %), zinc nitrate hexahydrate (Zn(NO</w:t>
      </w:r>
      <w:r w:rsidRPr="006164C5">
        <w:rPr>
          <w:vertAlign w:val="subscript"/>
          <w:lang w:val="en-GB"/>
        </w:rPr>
        <w:t>3</w:t>
      </w:r>
      <w:r w:rsidRPr="006164C5">
        <w:rPr>
          <w:lang w:val="en-GB"/>
        </w:rPr>
        <w:t>)</w:t>
      </w:r>
      <w:r w:rsidRPr="006164C5">
        <w:rPr>
          <w:vertAlign w:val="subscript"/>
          <w:lang w:val="en-GB"/>
        </w:rPr>
        <w:t>2</w:t>
      </w:r>
      <w:r w:rsidRPr="006164C5">
        <w:rPr>
          <w:lang w:val="en-GB"/>
        </w:rPr>
        <w:t>·6H</w:t>
      </w:r>
      <w:r w:rsidRPr="006164C5">
        <w:rPr>
          <w:vertAlign w:val="subscript"/>
          <w:lang w:val="en-GB"/>
        </w:rPr>
        <w:t>2</w:t>
      </w:r>
      <w:r w:rsidRPr="006164C5">
        <w:rPr>
          <w:lang w:val="en-GB"/>
        </w:rPr>
        <w:t>O, 99 %), terephthalic acid (H</w:t>
      </w:r>
      <w:r w:rsidRPr="006164C5">
        <w:rPr>
          <w:vertAlign w:val="subscript"/>
          <w:lang w:val="en-GB"/>
        </w:rPr>
        <w:t>2</w:t>
      </w:r>
      <w:r w:rsidRPr="006164C5">
        <w:rPr>
          <w:lang w:val="en-GB"/>
        </w:rPr>
        <w:t xml:space="preserve">-BDC, 98 %), 2-methylimidazole (Hmim, 99 %), triethylamine (TEA, 99.5 %), methanol (99.9 %), N,N-dimethylformamide (DMF, 99.8 %), hydrochloric acid (HCl, 37 %), acetone (&gt; 99.8 %), and ultrapure water (18.2 MΩ cm-1 at 25 °C) </w:t>
      </w:r>
      <w:r w:rsidR="002C1D11">
        <w:rPr>
          <w:lang w:val="en-GB"/>
        </w:rPr>
        <w:t xml:space="preserve">were </w:t>
      </w:r>
      <w:r w:rsidRPr="006164C5">
        <w:rPr>
          <w:lang w:val="en-GB"/>
        </w:rPr>
        <w:t>used as received.</w:t>
      </w:r>
      <w:r w:rsidR="00CC4A81">
        <w:rPr>
          <w:lang w:val="en-GB"/>
        </w:rPr>
        <w:t xml:space="preserve"> </w:t>
      </w:r>
      <w:r w:rsidRPr="006164C5">
        <w:rPr>
          <w:lang w:val="en-GB"/>
        </w:rPr>
        <w:t>UiO-66 (UiO-66-V3) and MOF-5 were synthesized via solvothermal methods based on previously reported procedures</w:t>
      </w:r>
      <w:r w:rsidR="003B6AE9">
        <w:rPr>
          <w:lang w:val="en-GB"/>
        </w:rPr>
        <w:t xml:space="preserve"> (Zhu et al</w:t>
      </w:r>
      <w:r w:rsidR="000F7BC1">
        <w:rPr>
          <w:lang w:val="en-GB"/>
        </w:rPr>
        <w:t>.</w:t>
      </w:r>
      <w:r w:rsidR="003B6AE9">
        <w:rPr>
          <w:lang w:val="en-GB"/>
        </w:rPr>
        <w:t xml:space="preserve"> 2020, </w:t>
      </w:r>
      <w:r w:rsidR="000F7BC1">
        <w:rPr>
          <w:lang w:val="en-GB"/>
        </w:rPr>
        <w:t>Katz et al. 2013)</w:t>
      </w:r>
      <w:r w:rsidRPr="006164C5">
        <w:rPr>
          <w:lang w:val="en-GB"/>
        </w:rPr>
        <w:t xml:space="preserve"> with slight modifications. For UiO-66, ZrCl4 (10.7 mmol) was dissolved in DMF (150 mL) with HCl (20 mL), </w:t>
      </w:r>
      <w:r w:rsidR="00CC4A81">
        <w:rPr>
          <w:lang w:val="en-GB"/>
        </w:rPr>
        <w:t>then H</w:t>
      </w:r>
      <w:r w:rsidR="00CC4A81" w:rsidRPr="00CC4A81">
        <w:rPr>
          <w:vertAlign w:val="subscript"/>
          <w:lang w:val="en-GB"/>
        </w:rPr>
        <w:t>2</w:t>
      </w:r>
      <w:r w:rsidR="00CC4A81">
        <w:rPr>
          <w:lang w:val="en-GB"/>
        </w:rPr>
        <w:t xml:space="preserve">-BDC (14.8 mmol) was added, </w:t>
      </w:r>
      <w:r w:rsidRPr="006164C5">
        <w:rPr>
          <w:lang w:val="en-GB"/>
        </w:rPr>
        <w:t>dissolved in DMF (150 mL). The mixture was heated at 80 °C for 15 h. For MOF-5, Zn(NO</w:t>
      </w:r>
      <w:r w:rsidRPr="00773D1D">
        <w:rPr>
          <w:vertAlign w:val="subscript"/>
          <w:lang w:val="en-GB"/>
        </w:rPr>
        <w:t>3</w:t>
      </w:r>
      <w:r w:rsidRPr="006164C5">
        <w:rPr>
          <w:lang w:val="en-GB"/>
        </w:rPr>
        <w:t>)</w:t>
      </w:r>
      <w:r w:rsidRPr="00773D1D">
        <w:rPr>
          <w:vertAlign w:val="subscript"/>
          <w:lang w:val="en-GB"/>
        </w:rPr>
        <w:t>2</w:t>
      </w:r>
      <w:r w:rsidRPr="006164C5">
        <w:rPr>
          <w:lang w:val="en-GB"/>
        </w:rPr>
        <w:t>·6H</w:t>
      </w:r>
      <w:r w:rsidRPr="00773D1D">
        <w:rPr>
          <w:vertAlign w:val="subscript"/>
          <w:lang w:val="en-GB"/>
        </w:rPr>
        <w:t>2</w:t>
      </w:r>
      <w:r w:rsidRPr="006164C5">
        <w:rPr>
          <w:lang w:val="en-GB"/>
        </w:rPr>
        <w:t>O (13.4 mmol) and H</w:t>
      </w:r>
      <w:r w:rsidRPr="00773D1D">
        <w:rPr>
          <w:vertAlign w:val="subscript"/>
          <w:lang w:val="en-GB"/>
        </w:rPr>
        <w:t>2</w:t>
      </w:r>
      <w:r w:rsidRPr="006164C5">
        <w:rPr>
          <w:lang w:val="en-GB"/>
        </w:rPr>
        <w:t>-BDC (12.2 mmol) were dissolved in DMF (250 mL) and heated at 100 °C overnight. ZIF-8-based materials were synthesized at room temperature by dissolving Hmim (80 mmol) in methanol (30 mL) and adding it dropwise to a methanolic solution (30 mL) containing Zn(NO</w:t>
      </w:r>
      <w:r w:rsidRPr="00773D1D">
        <w:rPr>
          <w:vertAlign w:val="subscript"/>
          <w:lang w:val="en-GB"/>
        </w:rPr>
        <w:t>3</w:t>
      </w:r>
      <w:r w:rsidRPr="006164C5">
        <w:rPr>
          <w:lang w:val="en-GB"/>
        </w:rPr>
        <w:t>)</w:t>
      </w:r>
      <w:r w:rsidRPr="00773D1D">
        <w:rPr>
          <w:vertAlign w:val="subscript"/>
          <w:lang w:val="en-GB"/>
        </w:rPr>
        <w:t>2</w:t>
      </w:r>
      <w:r w:rsidRPr="006164C5">
        <w:rPr>
          <w:lang w:val="en-GB"/>
        </w:rPr>
        <w:t>·6H</w:t>
      </w:r>
      <w:r w:rsidRPr="00773D1D">
        <w:rPr>
          <w:vertAlign w:val="subscript"/>
          <w:lang w:val="en-GB"/>
        </w:rPr>
        <w:t>2</w:t>
      </w:r>
      <w:r w:rsidRPr="006164C5">
        <w:rPr>
          <w:lang w:val="en-GB"/>
        </w:rPr>
        <w:t>O and Cu(NO</w:t>
      </w:r>
      <w:r w:rsidRPr="00773D1D">
        <w:rPr>
          <w:vertAlign w:val="subscript"/>
          <w:lang w:val="en-GB"/>
        </w:rPr>
        <w:t>3</w:t>
      </w:r>
      <w:r w:rsidRPr="006164C5">
        <w:rPr>
          <w:lang w:val="en-GB"/>
        </w:rPr>
        <w:t>)</w:t>
      </w:r>
      <w:r w:rsidRPr="00773D1D">
        <w:rPr>
          <w:vertAlign w:val="subscript"/>
          <w:lang w:val="en-GB"/>
        </w:rPr>
        <w:t>2</w:t>
      </w:r>
      <w:r w:rsidRPr="006164C5">
        <w:rPr>
          <w:lang w:val="en-GB"/>
        </w:rPr>
        <w:t>·3H</w:t>
      </w:r>
      <w:r w:rsidRPr="00773D1D">
        <w:rPr>
          <w:vertAlign w:val="subscript"/>
          <w:lang w:val="en-GB"/>
        </w:rPr>
        <w:t>2</w:t>
      </w:r>
      <w:r w:rsidRPr="006164C5">
        <w:rPr>
          <w:lang w:val="en-GB"/>
        </w:rPr>
        <w:t>O (total metal content: 10 mmol). Cu:Zn molar ratios of 1:2, 1:1, and 2:1 were investigated. The mixture was stirred overnight.</w:t>
      </w:r>
      <w:r w:rsidR="00CC4A81">
        <w:rPr>
          <w:lang w:val="en-GB"/>
        </w:rPr>
        <w:t xml:space="preserve"> </w:t>
      </w:r>
      <w:r w:rsidRPr="006164C5">
        <w:rPr>
          <w:lang w:val="en-GB"/>
        </w:rPr>
        <w:t xml:space="preserve">Copper was introduced either during synthesis (direct synthesis) or via post-synthetic modification. </w:t>
      </w:r>
      <w:r w:rsidR="00CC4A81">
        <w:rPr>
          <w:lang w:val="en-GB"/>
        </w:rPr>
        <w:t>Post-synthetic</w:t>
      </w:r>
      <w:r w:rsidRPr="006164C5">
        <w:rPr>
          <w:lang w:val="en-GB"/>
        </w:rPr>
        <w:t xml:space="preserve"> metalation (MET) was performed by dissolving Cu(NO</w:t>
      </w:r>
      <w:r w:rsidRPr="00773D1D">
        <w:rPr>
          <w:vertAlign w:val="subscript"/>
          <w:lang w:val="en-GB"/>
        </w:rPr>
        <w:t>3</w:t>
      </w:r>
      <w:r w:rsidRPr="006164C5">
        <w:rPr>
          <w:lang w:val="en-GB"/>
        </w:rPr>
        <w:t>)</w:t>
      </w:r>
      <w:r w:rsidRPr="00773D1D">
        <w:rPr>
          <w:vertAlign w:val="subscript"/>
          <w:lang w:val="en-GB"/>
        </w:rPr>
        <w:t>2</w:t>
      </w:r>
      <w:r w:rsidRPr="006164C5">
        <w:rPr>
          <w:lang w:val="en-GB"/>
        </w:rPr>
        <w:t>·3H</w:t>
      </w:r>
      <w:r w:rsidRPr="00773D1D">
        <w:rPr>
          <w:vertAlign w:val="subscript"/>
          <w:lang w:val="en-GB"/>
        </w:rPr>
        <w:t>2</w:t>
      </w:r>
      <w:r w:rsidRPr="006164C5">
        <w:rPr>
          <w:lang w:val="en-GB"/>
        </w:rPr>
        <w:t>O in DMF, followed by the dropwise addition of TEA under stirring</w:t>
      </w:r>
      <w:r w:rsidR="000F7BC1">
        <w:rPr>
          <w:lang w:val="en-GB"/>
        </w:rPr>
        <w:t xml:space="preserve"> (</w:t>
      </w:r>
      <w:r w:rsidR="00773D1D">
        <w:rPr>
          <w:lang w:val="en-GB"/>
        </w:rPr>
        <w:t>Makhmutov et al. 2025</w:t>
      </w:r>
      <w:r w:rsidR="000F7BC1">
        <w:rPr>
          <w:lang w:val="en-GB"/>
        </w:rPr>
        <w:t>)</w:t>
      </w:r>
      <w:r w:rsidRPr="006164C5">
        <w:rPr>
          <w:lang w:val="en-GB"/>
        </w:rPr>
        <w:t>. The parent MOF (UiO-66 or MOF-5, ~1 g) was added, and the mixture was stirred at room temperature overnight. Ion exchange (IE) was carried out for UiO-66 by suspending the MOF (~1 g) in an aqueous Cu(CH</w:t>
      </w:r>
      <w:r w:rsidRPr="00773D1D">
        <w:rPr>
          <w:vertAlign w:val="subscript"/>
          <w:lang w:val="en-GB"/>
        </w:rPr>
        <w:t>3</w:t>
      </w:r>
      <w:r w:rsidRPr="006164C5">
        <w:rPr>
          <w:lang w:val="en-GB"/>
        </w:rPr>
        <w:t>COO)</w:t>
      </w:r>
      <w:r w:rsidRPr="00773D1D">
        <w:rPr>
          <w:vertAlign w:val="subscript"/>
          <w:lang w:val="en-GB"/>
        </w:rPr>
        <w:t xml:space="preserve">2 </w:t>
      </w:r>
      <w:r w:rsidRPr="006164C5">
        <w:rPr>
          <w:lang w:val="en-GB"/>
        </w:rPr>
        <w:t>solution (0.01 M, 600 mL) under stirring for 24 h, maintaining the pH at 5-6.</w:t>
      </w:r>
      <w:r w:rsidR="000C5DA9">
        <w:rPr>
          <w:lang w:val="en-GB"/>
        </w:rPr>
        <w:t xml:space="preserve"> </w:t>
      </w:r>
      <w:r w:rsidRPr="006164C5">
        <w:rPr>
          <w:lang w:val="en-GB"/>
        </w:rPr>
        <w:t>All materials were recovered by centrifugation (3000-5000 rpm, 5-10 min), washed three times with the synthesis solvent (DMF or methanol), and subjected to solvent exchange with acetone. The final solids were dried at 75 °C in a convection oven.</w:t>
      </w:r>
    </w:p>
    <w:p w14:paraId="424E1F2C" w14:textId="0B570C44" w:rsidR="00D368F0" w:rsidRPr="00D368F0" w:rsidRDefault="002C1D11" w:rsidP="00764100">
      <w:pPr>
        <w:pStyle w:val="CETBodytext"/>
        <w:spacing w:before="120" w:after="120"/>
        <w:rPr>
          <w:b/>
          <w:bCs/>
          <w:lang w:val="en-GB"/>
        </w:rPr>
      </w:pPr>
      <w:r>
        <w:rPr>
          <w:b/>
          <w:bCs/>
          <w:lang w:val="en-GB"/>
        </w:rPr>
        <w:t xml:space="preserve">2.2 </w:t>
      </w:r>
      <w:r w:rsidR="00B665A6" w:rsidRPr="00D368F0">
        <w:rPr>
          <w:b/>
          <w:bCs/>
          <w:lang w:val="en-GB"/>
        </w:rPr>
        <w:t>GDE fabricatio</w:t>
      </w:r>
      <w:r w:rsidR="00D368F0" w:rsidRPr="00D368F0">
        <w:rPr>
          <w:b/>
          <w:bCs/>
          <w:lang w:val="en-GB"/>
        </w:rPr>
        <w:t>n</w:t>
      </w:r>
    </w:p>
    <w:p w14:paraId="52FD7D18" w14:textId="6C19F0F3" w:rsidR="007F1486" w:rsidRDefault="00D368F0" w:rsidP="008F1B3D">
      <w:pPr>
        <w:pStyle w:val="CETBodytext"/>
      </w:pPr>
      <w:r w:rsidRPr="00D368F0">
        <w:t>The electrodes used for catalyst screening are fabricated by automated spray coating. In this process, a catalytic ink is prepared consisting of the selected catalytic material and an ionomer acting as a binder. Two ionomers of different nature are employed: Nafion (D</w:t>
      </w:r>
      <w:r w:rsidRPr="00D368F0">
        <w:rPr>
          <w:rFonts w:ascii="Cambria Math" w:hAnsi="Cambria Math" w:cs="Cambria Math"/>
        </w:rPr>
        <w:t>‑</w:t>
      </w:r>
      <w:r w:rsidRPr="00D368F0">
        <w:t>521, Ion Power) as a cation</w:t>
      </w:r>
      <w:r w:rsidRPr="00D368F0">
        <w:rPr>
          <w:rFonts w:ascii="Cambria Math" w:hAnsi="Cambria Math" w:cs="Cambria Math"/>
        </w:rPr>
        <w:t>‑</w:t>
      </w:r>
      <w:r w:rsidRPr="00D368F0">
        <w:t>conducting ionomer and Sustainion (Dioxide Materials) as an anion</w:t>
      </w:r>
      <w:r w:rsidRPr="00D368F0">
        <w:rPr>
          <w:rFonts w:ascii="Cambria Math" w:hAnsi="Cambria Math" w:cs="Cambria Math"/>
        </w:rPr>
        <w:t>‑</w:t>
      </w:r>
      <w:r w:rsidRPr="00D368F0">
        <w:t>conducting ionomer. The catalyst and ionomer are suspended in an organic solvent, such as isopropanol, which evaporates upon deposition of the ink onto a carbonaceous support (Sigracet 39BB) placed on a heated substrate maintained at 70 °C.</w:t>
      </w:r>
      <w:r w:rsidR="008B1F82">
        <w:t xml:space="preserve"> The catalyst loading of the GDEs </w:t>
      </w:r>
      <w:r w:rsidR="00686254">
        <w:t>is 1.5 mg cm</w:t>
      </w:r>
      <w:r w:rsidR="00686254" w:rsidRPr="00686254">
        <w:rPr>
          <w:vertAlign w:val="superscript"/>
        </w:rPr>
        <w:t>-2</w:t>
      </w:r>
      <w:r w:rsidR="0024129E">
        <w:t xml:space="preserve"> for</w:t>
      </w:r>
      <w:r w:rsidR="00686254">
        <w:t xml:space="preserve"> MOFs, and 3 mg cm</w:t>
      </w:r>
      <w:r w:rsidR="00686254" w:rsidRPr="00686254">
        <w:rPr>
          <w:vertAlign w:val="superscript"/>
        </w:rPr>
        <w:t>-2</w:t>
      </w:r>
      <w:r w:rsidR="00686254">
        <w:t xml:space="preserve"> for GQDs.</w:t>
      </w:r>
    </w:p>
    <w:p w14:paraId="5D0E9A6C" w14:textId="75DBCE1F" w:rsidR="007F1486" w:rsidRDefault="002C1D11" w:rsidP="00764100">
      <w:pPr>
        <w:pStyle w:val="CETBodytext"/>
        <w:spacing w:before="120" w:after="120"/>
        <w:rPr>
          <w:b/>
          <w:bCs/>
          <w:lang w:val="en-GB"/>
        </w:rPr>
      </w:pPr>
      <w:r>
        <w:rPr>
          <w:b/>
          <w:bCs/>
          <w:lang w:val="en-GB"/>
        </w:rPr>
        <w:t xml:space="preserve">2.3 </w:t>
      </w:r>
      <w:r w:rsidR="007F1486">
        <w:rPr>
          <w:b/>
          <w:bCs/>
          <w:lang w:val="en-GB"/>
        </w:rPr>
        <w:t>Catalyst testing</w:t>
      </w:r>
    </w:p>
    <w:p w14:paraId="44D2278C" w14:textId="5E460E36" w:rsidR="007F1486" w:rsidRPr="00B70F27" w:rsidRDefault="007F1486" w:rsidP="007F1486">
      <w:pPr>
        <w:pStyle w:val="CETBodytext"/>
        <w:spacing w:before="120" w:after="120"/>
        <w:rPr>
          <w:lang w:val="en-GB"/>
        </w:rPr>
      </w:pPr>
      <w:r w:rsidRPr="00B70F27">
        <w:rPr>
          <w:lang w:val="en-GB"/>
        </w:rPr>
        <w:t xml:space="preserve">The screening of catalytic materials is carried out using a flow cell in a membrane electrode assembly (MEA) configuration with an active area of 5 cm². The </w:t>
      </w:r>
      <w:r w:rsidR="00B70F27">
        <w:rPr>
          <w:lang w:val="en-GB"/>
        </w:rPr>
        <w:t>GDE</w:t>
      </w:r>
      <w:r w:rsidRPr="00B70F27">
        <w:rPr>
          <w:lang w:val="en-GB"/>
        </w:rPr>
        <w:t xml:space="preserve"> is placed in intimate contact with an anion exchange membrane (Sustainion, Dioxide Materials). The cathodic compartment is fed with a stream of pure CO</w:t>
      </w:r>
      <w:r w:rsidRPr="00B70F27">
        <w:rPr>
          <w:rFonts w:ascii="Cambria Math" w:hAnsi="Cambria Math" w:cs="Cambria Math"/>
          <w:lang w:val="en-GB"/>
        </w:rPr>
        <w:t>₂</w:t>
      </w:r>
      <w:r w:rsidRPr="00B70F27">
        <w:rPr>
          <w:lang w:val="en-GB"/>
        </w:rPr>
        <w:t xml:space="preserve"> at 50 mL min</w:t>
      </w:r>
      <w:r w:rsidRPr="00B70F27">
        <w:rPr>
          <w:rFonts w:ascii="Cambria Math" w:hAnsi="Cambria Math" w:cs="Cambria Math"/>
          <w:lang w:val="en-GB"/>
        </w:rPr>
        <w:t>⁻</w:t>
      </w:r>
      <w:r w:rsidRPr="00B70F27">
        <w:rPr>
          <w:rFonts w:cs="Arial"/>
          <w:lang w:val="en-GB"/>
        </w:rPr>
        <w:t>¹</w:t>
      </w:r>
      <w:r w:rsidRPr="00B70F27">
        <w:rPr>
          <w:lang w:val="en-GB"/>
        </w:rPr>
        <w:t>, while the anodic compartment is supplied with a 1 M KOH solution at a flow rate of 0.57 mL min</w:t>
      </w:r>
      <w:r w:rsidRPr="00B70F27">
        <w:rPr>
          <w:rFonts w:ascii="Cambria Math" w:hAnsi="Cambria Math" w:cs="Cambria Math"/>
          <w:lang w:val="en-GB"/>
        </w:rPr>
        <w:t>⁻</w:t>
      </w:r>
      <w:r w:rsidRPr="00B70F27">
        <w:rPr>
          <w:rFonts w:cs="Arial"/>
          <w:lang w:val="en-GB"/>
        </w:rPr>
        <w:t>¹</w:t>
      </w:r>
      <w:r w:rsidR="00B70F27">
        <w:rPr>
          <w:rFonts w:cs="Arial"/>
          <w:lang w:val="en-GB"/>
        </w:rPr>
        <w:t xml:space="preserve"> cm</w:t>
      </w:r>
      <w:r w:rsidR="00B70F27" w:rsidRPr="00B70F27">
        <w:rPr>
          <w:rFonts w:cs="Arial"/>
          <w:vertAlign w:val="superscript"/>
          <w:lang w:val="en-GB"/>
        </w:rPr>
        <w:t>-</w:t>
      </w:r>
      <w:r w:rsidR="00B70F27">
        <w:rPr>
          <w:rFonts w:cs="Arial"/>
          <w:lang w:val="en-GB"/>
        </w:rPr>
        <w:t>2</w:t>
      </w:r>
      <w:r w:rsidRPr="00B70F27">
        <w:rPr>
          <w:lang w:val="en-GB"/>
        </w:rPr>
        <w:t>, using a titanium anode. Electrochemical experiments are conducted at current densities of 50 and 100 mA cm</w:t>
      </w:r>
      <w:r w:rsidRPr="00B70F27">
        <w:rPr>
          <w:rFonts w:ascii="Cambria Math" w:hAnsi="Cambria Math" w:cs="Cambria Math"/>
          <w:lang w:val="en-GB"/>
        </w:rPr>
        <w:t>⁻</w:t>
      </w:r>
      <w:r w:rsidRPr="00B70F27">
        <w:rPr>
          <w:rFonts w:cs="Arial"/>
          <w:lang w:val="en-GB"/>
        </w:rPr>
        <w:t>²</w:t>
      </w:r>
      <w:r w:rsidRPr="00B70F27">
        <w:rPr>
          <w:lang w:val="en-GB"/>
        </w:rPr>
        <w:t xml:space="preserve"> for a duration of 45 minutes. Gaseous products generated at the cathode, mainly CH</w:t>
      </w:r>
      <w:r w:rsidRPr="00B70F27">
        <w:rPr>
          <w:rFonts w:ascii="Cambria Math" w:hAnsi="Cambria Math" w:cs="Cambria Math"/>
          <w:lang w:val="en-GB"/>
        </w:rPr>
        <w:t>₄</w:t>
      </w:r>
      <w:r w:rsidRPr="00B70F27">
        <w:rPr>
          <w:lang w:val="en-GB"/>
        </w:rPr>
        <w:t xml:space="preserve"> and H</w:t>
      </w:r>
      <w:r w:rsidRPr="00B70F27">
        <w:rPr>
          <w:rFonts w:ascii="Cambria Math" w:hAnsi="Cambria Math" w:cs="Cambria Math"/>
          <w:lang w:val="en-GB"/>
        </w:rPr>
        <w:t>₂</w:t>
      </w:r>
      <w:r w:rsidRPr="00B70F27">
        <w:rPr>
          <w:lang w:val="en-GB"/>
        </w:rPr>
        <w:t xml:space="preserve">, are </w:t>
      </w:r>
      <w:r w:rsidRPr="00B70F27">
        <w:rPr>
          <w:lang w:val="en-GB"/>
        </w:rPr>
        <w:lastRenderedPageBreak/>
        <w:t xml:space="preserve">continuously analyzed using a micro gas chromatograph (Agilent), while liquid samples from the anolyte are periodically collected to quantify </w:t>
      </w:r>
      <w:r w:rsidR="00274754">
        <w:rPr>
          <w:lang w:val="en-GB"/>
        </w:rPr>
        <w:t xml:space="preserve">products </w:t>
      </w:r>
      <w:r w:rsidR="00274754" w:rsidRPr="00B70F27">
        <w:rPr>
          <w:lang w:val="en-GB"/>
        </w:rPr>
        <w:t>such</w:t>
      </w:r>
      <w:r w:rsidRPr="00B70F27">
        <w:rPr>
          <w:lang w:val="en-GB"/>
        </w:rPr>
        <w:t xml:space="preserve"> as formate or alcohols.</w:t>
      </w:r>
    </w:p>
    <w:p w14:paraId="73EE2B08" w14:textId="30E07CAC" w:rsidR="00B70F27" w:rsidRDefault="00B70F27" w:rsidP="00B70F27">
      <w:pPr>
        <w:pStyle w:val="CETHeading1"/>
        <w:rPr>
          <w:lang w:val="en-GB"/>
        </w:rPr>
      </w:pPr>
      <w:r>
        <w:rPr>
          <w:lang w:val="en-GB"/>
        </w:rPr>
        <w:t>Results</w:t>
      </w:r>
    </w:p>
    <w:p w14:paraId="4FAC8BFE" w14:textId="589FA6B8" w:rsidR="00B70F27" w:rsidRDefault="00B116B9" w:rsidP="00B70F27">
      <w:pPr>
        <w:pStyle w:val="CETBodytext"/>
        <w:numPr>
          <w:ilvl w:val="2"/>
          <w:numId w:val="1"/>
        </w:numPr>
        <w:spacing w:before="120" w:after="120"/>
        <w:rPr>
          <w:b/>
          <w:bCs/>
          <w:lang w:val="en-GB"/>
        </w:rPr>
      </w:pPr>
      <w:r>
        <w:rPr>
          <w:b/>
          <w:bCs/>
          <w:lang w:val="en-GB"/>
        </w:rPr>
        <w:t>Catalyst physicochemical characterization</w:t>
      </w:r>
    </w:p>
    <w:p w14:paraId="5A676CC0" w14:textId="1AA4B7EE" w:rsidR="00917F97" w:rsidRDefault="00B116B9" w:rsidP="00B116B9">
      <w:pPr>
        <w:pStyle w:val="CETBodytext"/>
        <w:spacing w:before="120" w:after="120"/>
        <w:rPr>
          <w:color w:val="4F81BD" w:themeColor="accent1"/>
          <w:lang w:val="en-GB"/>
        </w:rPr>
      </w:pPr>
      <w:r w:rsidRPr="008C670B">
        <w:rPr>
          <w:color w:val="4F81BD" w:themeColor="accent1"/>
          <w:lang w:val="en-GB"/>
        </w:rPr>
        <w:t xml:space="preserve">The physicochemical characterization confirmed the successful synthesis of all doped GQDs, </w:t>
      </w:r>
      <w:r w:rsidR="00917F97">
        <w:rPr>
          <w:color w:val="4F81BD" w:themeColor="accent1"/>
          <w:lang w:val="en-GB"/>
        </w:rPr>
        <w:t>exhibiting</w:t>
      </w:r>
      <w:r w:rsidRPr="008C670B">
        <w:rPr>
          <w:color w:val="4F81BD" w:themeColor="accent1"/>
          <w:lang w:val="en-GB"/>
        </w:rPr>
        <w:t xml:space="preserve"> uniform, nanoscale size distributions, </w:t>
      </w:r>
      <w:r w:rsidR="00917F97">
        <w:rPr>
          <w:color w:val="4F81BD" w:themeColor="accent1"/>
          <w:lang w:val="en-GB"/>
        </w:rPr>
        <w:t>excellent</w:t>
      </w:r>
      <w:r w:rsidRPr="008C670B">
        <w:rPr>
          <w:color w:val="4F81BD" w:themeColor="accent1"/>
          <w:lang w:val="en-GB"/>
        </w:rPr>
        <w:t xml:space="preserve"> colloidal stability, and no </w:t>
      </w:r>
      <w:r w:rsidR="00917F97">
        <w:rPr>
          <w:color w:val="4F81BD" w:themeColor="accent1"/>
          <w:lang w:val="en-GB"/>
        </w:rPr>
        <w:t xml:space="preserve">evidence of </w:t>
      </w:r>
      <w:r w:rsidRPr="008C670B">
        <w:rPr>
          <w:color w:val="4F81BD" w:themeColor="accent1"/>
          <w:lang w:val="en-GB"/>
        </w:rPr>
        <w:t xml:space="preserve">aggregation. </w:t>
      </w:r>
      <w:r w:rsidR="00917F97" w:rsidRPr="00917F97">
        <w:rPr>
          <w:color w:val="4F81BD" w:themeColor="accent1"/>
          <w:lang w:val="en-GB"/>
        </w:rPr>
        <w:t>Dynamic light scattering (DLS) and atomic force microscopy (AFM)</w:t>
      </w:r>
      <w:r w:rsidR="00917F97">
        <w:rPr>
          <w:color w:val="4F81BD" w:themeColor="accent1"/>
          <w:lang w:val="en-GB"/>
        </w:rPr>
        <w:t xml:space="preserve"> </w:t>
      </w:r>
      <w:r w:rsidRPr="008C670B">
        <w:rPr>
          <w:color w:val="4F81BD" w:themeColor="accent1"/>
          <w:lang w:val="en-GB"/>
        </w:rPr>
        <w:t xml:space="preserve">analyses revealed particle sizes </w:t>
      </w:r>
      <w:r w:rsidR="00917F97">
        <w:rPr>
          <w:color w:val="4F81BD" w:themeColor="accent1"/>
          <w:lang w:val="en-GB"/>
        </w:rPr>
        <w:t>ranging</w:t>
      </w:r>
      <w:r w:rsidRPr="008C670B">
        <w:rPr>
          <w:color w:val="4F81BD" w:themeColor="accent1"/>
          <w:lang w:val="en-GB"/>
        </w:rPr>
        <w:t xml:space="preserve"> </w:t>
      </w:r>
      <w:r w:rsidR="00917F97">
        <w:rPr>
          <w:color w:val="4F81BD" w:themeColor="accent1"/>
          <w:lang w:val="en-GB"/>
        </w:rPr>
        <w:t>from</w:t>
      </w:r>
      <w:r w:rsidRPr="008C670B">
        <w:rPr>
          <w:color w:val="4F81BD" w:themeColor="accent1"/>
          <w:lang w:val="en-GB"/>
        </w:rPr>
        <w:t xml:space="preserve"> ~1–6 nm (hydrodynamic</w:t>
      </w:r>
      <w:r w:rsidR="00917F97">
        <w:rPr>
          <w:color w:val="4F81BD" w:themeColor="accent1"/>
          <w:lang w:val="en-GB"/>
        </w:rPr>
        <w:t xml:space="preserve"> diameter</w:t>
      </w:r>
      <w:r w:rsidRPr="008C670B">
        <w:rPr>
          <w:color w:val="4F81BD" w:themeColor="accent1"/>
          <w:lang w:val="en-GB"/>
        </w:rPr>
        <w:t xml:space="preserve">) and 2.5–12 nm, respectively, with low polydispersity </w:t>
      </w:r>
      <w:r w:rsidR="00917F97">
        <w:rPr>
          <w:color w:val="4F81BD" w:themeColor="accent1"/>
          <w:lang w:val="en-GB"/>
        </w:rPr>
        <w:t xml:space="preserve">values </w:t>
      </w:r>
      <w:r w:rsidRPr="008C670B">
        <w:rPr>
          <w:color w:val="4F81BD" w:themeColor="accent1"/>
          <w:lang w:val="en-GB"/>
        </w:rPr>
        <w:t xml:space="preserve">indicating </w:t>
      </w:r>
      <w:r w:rsidR="00917F97">
        <w:rPr>
          <w:color w:val="4F81BD" w:themeColor="accent1"/>
          <w:lang w:val="en-GB"/>
        </w:rPr>
        <w:t xml:space="preserve">a </w:t>
      </w:r>
      <w:r w:rsidRPr="008C670B">
        <w:rPr>
          <w:color w:val="4F81BD" w:themeColor="accent1"/>
          <w:lang w:val="en-GB"/>
        </w:rPr>
        <w:t xml:space="preserve">high </w:t>
      </w:r>
      <w:r w:rsidR="00917F97">
        <w:rPr>
          <w:color w:val="4F81BD" w:themeColor="accent1"/>
          <w:lang w:val="en-GB"/>
        </w:rPr>
        <w:t xml:space="preserve">degree of </w:t>
      </w:r>
      <w:r w:rsidRPr="008C670B">
        <w:rPr>
          <w:color w:val="4F81BD" w:themeColor="accent1"/>
          <w:lang w:val="en-GB"/>
        </w:rPr>
        <w:t xml:space="preserve">homogeneity. </w:t>
      </w:r>
      <w:r w:rsidR="00917F97" w:rsidRPr="00917F97">
        <w:rPr>
          <w:color w:val="4F81BD" w:themeColor="accent1"/>
          <w:lang w:val="en-GB"/>
        </w:rPr>
        <w:t>X-ray photoelectron spectroscopy (XPS)</w:t>
      </w:r>
      <w:r w:rsidR="00917F97">
        <w:rPr>
          <w:color w:val="4F81BD" w:themeColor="accent1"/>
          <w:lang w:val="en-GB"/>
        </w:rPr>
        <w:t xml:space="preserve"> further</w:t>
      </w:r>
      <w:r w:rsidRPr="008C670B">
        <w:rPr>
          <w:color w:val="4F81BD" w:themeColor="accent1"/>
          <w:lang w:val="en-GB"/>
        </w:rPr>
        <w:t xml:space="preserve"> verified the effective incorporation of heteroatoms (N, B, S), with dopant </w:t>
      </w:r>
      <w:r w:rsidR="00917F97">
        <w:rPr>
          <w:color w:val="4F81BD" w:themeColor="accent1"/>
          <w:lang w:val="en-GB"/>
        </w:rPr>
        <w:t>concentrations</w:t>
      </w:r>
      <w:r w:rsidRPr="008C670B">
        <w:rPr>
          <w:color w:val="4F81BD" w:themeColor="accent1"/>
          <w:lang w:val="en-GB"/>
        </w:rPr>
        <w:t xml:space="preserve"> consistent with</w:t>
      </w:r>
      <w:r w:rsidR="00917F97">
        <w:rPr>
          <w:color w:val="4F81BD" w:themeColor="accent1"/>
          <w:lang w:val="en-GB"/>
        </w:rPr>
        <w:t xml:space="preserve"> those reported in the</w:t>
      </w:r>
      <w:r w:rsidRPr="008C670B">
        <w:rPr>
          <w:color w:val="4F81BD" w:themeColor="accent1"/>
          <w:lang w:val="en-GB"/>
        </w:rPr>
        <w:t xml:space="preserve"> literature. Overall, </w:t>
      </w:r>
      <w:r w:rsidR="00917F97">
        <w:rPr>
          <w:color w:val="4F81BD" w:themeColor="accent1"/>
          <w:lang w:val="en-GB"/>
        </w:rPr>
        <w:t>these results demonstrate</w:t>
      </w:r>
      <w:r w:rsidRPr="008C670B">
        <w:rPr>
          <w:color w:val="4F81BD" w:themeColor="accent1"/>
          <w:lang w:val="en-GB"/>
        </w:rPr>
        <w:t xml:space="preserve"> </w:t>
      </w:r>
      <w:r w:rsidR="00917F97">
        <w:rPr>
          <w:color w:val="4F81BD" w:themeColor="accent1"/>
          <w:lang w:val="en-GB"/>
        </w:rPr>
        <w:t>the successful synthesis of</w:t>
      </w:r>
      <w:r w:rsidRPr="008C670B">
        <w:rPr>
          <w:color w:val="4F81BD" w:themeColor="accent1"/>
          <w:lang w:val="en-GB"/>
        </w:rPr>
        <w:t xml:space="preserve"> well-defined, stable, and </w:t>
      </w:r>
      <w:r w:rsidR="00917F97">
        <w:rPr>
          <w:color w:val="4F81BD" w:themeColor="accent1"/>
          <w:lang w:val="en-GB"/>
        </w:rPr>
        <w:t>uniformly doped</w:t>
      </w:r>
      <w:r w:rsidRPr="008C670B">
        <w:rPr>
          <w:color w:val="4F81BD" w:themeColor="accent1"/>
          <w:lang w:val="en-GB"/>
        </w:rPr>
        <w:t xml:space="preserve"> </w:t>
      </w:r>
      <w:r w:rsidR="00917F97" w:rsidRPr="008C670B">
        <w:rPr>
          <w:color w:val="4F81BD" w:themeColor="accent1"/>
          <w:lang w:val="en-GB"/>
        </w:rPr>
        <w:t>GQDs</w:t>
      </w:r>
      <w:r w:rsidRPr="008C670B">
        <w:rPr>
          <w:color w:val="4F81BD" w:themeColor="accent1"/>
          <w:lang w:val="en-GB"/>
        </w:rPr>
        <w:t>.</w:t>
      </w:r>
      <w:r w:rsidR="000C124C">
        <w:rPr>
          <w:color w:val="4F81BD" w:themeColor="accent1"/>
          <w:lang w:val="en-GB"/>
        </w:rPr>
        <w:t xml:space="preserve"> </w:t>
      </w:r>
    </w:p>
    <w:p w14:paraId="29F2A681" w14:textId="286508BF" w:rsidR="00B116B9" w:rsidRPr="008C670B" w:rsidRDefault="00DC25F4" w:rsidP="00B116B9">
      <w:pPr>
        <w:pStyle w:val="CETBodytext"/>
        <w:spacing w:before="120" w:after="120"/>
        <w:rPr>
          <w:color w:val="4F81BD" w:themeColor="accent1"/>
          <w:lang w:val="en-GB"/>
        </w:rPr>
      </w:pPr>
      <w:r>
        <w:rPr>
          <w:color w:val="4F81BD" w:themeColor="accent1"/>
          <w:lang w:val="en-GB"/>
        </w:rPr>
        <w:t xml:space="preserve">In the case of the Cu-MOFs, </w:t>
      </w:r>
      <w:r w:rsidR="00714A96">
        <w:rPr>
          <w:color w:val="4F81BD" w:themeColor="accent1"/>
          <w:lang w:val="en-GB"/>
        </w:rPr>
        <w:t>the</w:t>
      </w:r>
      <w:r w:rsidRPr="00DC25F4">
        <w:rPr>
          <w:color w:val="4F81BD" w:themeColor="accent1"/>
          <w:lang w:val="en-GB"/>
        </w:rPr>
        <w:t xml:space="preserve"> characterization confirm</w:t>
      </w:r>
      <w:r w:rsidR="00917F97">
        <w:rPr>
          <w:color w:val="4F81BD" w:themeColor="accent1"/>
          <w:lang w:val="en-GB"/>
        </w:rPr>
        <w:t>ed</w:t>
      </w:r>
      <w:r w:rsidRPr="00DC25F4">
        <w:rPr>
          <w:color w:val="4F81BD" w:themeColor="accent1"/>
          <w:lang w:val="en-GB"/>
        </w:rPr>
        <w:t xml:space="preserve"> the successful synthesis of </w:t>
      </w:r>
      <w:r w:rsidR="00917F97">
        <w:rPr>
          <w:color w:val="4F81BD" w:themeColor="accent1"/>
          <w:lang w:val="en-GB"/>
        </w:rPr>
        <w:t xml:space="preserve">both </w:t>
      </w:r>
      <w:r w:rsidRPr="00DC25F4">
        <w:rPr>
          <w:color w:val="4F81BD" w:themeColor="accent1"/>
          <w:lang w:val="en-GB"/>
        </w:rPr>
        <w:t>UiO-66</w:t>
      </w:r>
      <w:r>
        <w:rPr>
          <w:color w:val="4F81BD" w:themeColor="accent1"/>
          <w:lang w:val="en-GB"/>
        </w:rPr>
        <w:t xml:space="preserve"> and MOF</w:t>
      </w:r>
      <w:r w:rsidR="00714A96">
        <w:rPr>
          <w:color w:val="4F81BD" w:themeColor="accent1"/>
          <w:lang w:val="en-GB"/>
        </w:rPr>
        <w:t>5,</w:t>
      </w:r>
      <w:r w:rsidRPr="00DC25F4">
        <w:rPr>
          <w:color w:val="4F81BD" w:themeColor="accent1"/>
          <w:lang w:val="en-GB"/>
        </w:rPr>
        <w:t xml:space="preserve"> </w:t>
      </w:r>
      <w:r w:rsidR="00917F97">
        <w:rPr>
          <w:color w:val="4F81BD" w:themeColor="accent1"/>
          <w:lang w:val="en-GB"/>
        </w:rPr>
        <w:t xml:space="preserve">as well as their subsequent functionalization with </w:t>
      </w:r>
      <w:r w:rsidRPr="00DC25F4">
        <w:rPr>
          <w:color w:val="4F81BD" w:themeColor="accent1"/>
          <w:lang w:val="en-GB"/>
        </w:rPr>
        <w:t xml:space="preserve">Cu. </w:t>
      </w:r>
      <w:r w:rsidR="00917F97" w:rsidRPr="00917F97">
        <w:rPr>
          <w:color w:val="4F81BD" w:themeColor="accent1"/>
          <w:lang w:val="en-GB"/>
        </w:rPr>
        <w:t>Fourier-transform infrared spectroscopy (FTIR)</w:t>
      </w:r>
      <w:r w:rsidR="00917F97">
        <w:rPr>
          <w:color w:val="4F81BD" w:themeColor="accent1"/>
          <w:lang w:val="en-GB"/>
        </w:rPr>
        <w:t xml:space="preserve"> verified the correct</w:t>
      </w:r>
      <w:r w:rsidRPr="00DC25F4">
        <w:rPr>
          <w:color w:val="4F81BD" w:themeColor="accent1"/>
          <w:lang w:val="en-GB"/>
        </w:rPr>
        <w:t xml:space="preserve"> formation </w:t>
      </w:r>
      <w:r w:rsidR="00917F97">
        <w:rPr>
          <w:color w:val="4F81BD" w:themeColor="accent1"/>
          <w:lang w:val="en-GB"/>
        </w:rPr>
        <w:t>of the MOF frameworks and provided of</w:t>
      </w:r>
      <w:r w:rsidRPr="00DC25F4">
        <w:rPr>
          <w:color w:val="4F81BD" w:themeColor="accent1"/>
          <w:lang w:val="en-GB"/>
        </w:rPr>
        <w:t xml:space="preserve"> Cu incorporation </w:t>
      </w:r>
      <w:r w:rsidR="00917F97">
        <w:rPr>
          <w:color w:val="4F81BD" w:themeColor="accent1"/>
          <w:lang w:val="en-GB"/>
        </w:rPr>
        <w:t>through</w:t>
      </w:r>
      <w:r w:rsidRPr="00DC25F4">
        <w:rPr>
          <w:color w:val="4F81BD" w:themeColor="accent1"/>
          <w:lang w:val="en-GB"/>
        </w:rPr>
        <w:t xml:space="preserve"> ion exchange and metalation</w:t>
      </w:r>
      <w:r w:rsidR="00917F97">
        <w:rPr>
          <w:color w:val="4F81BD" w:themeColor="accent1"/>
          <w:lang w:val="en-GB"/>
        </w:rPr>
        <w:t xml:space="preserve"> processes, involving</w:t>
      </w:r>
      <w:r w:rsidRPr="00DC25F4">
        <w:rPr>
          <w:color w:val="4F81BD" w:themeColor="accent1"/>
          <w:lang w:val="en-GB"/>
        </w:rPr>
        <w:t xml:space="preserve"> </w:t>
      </w:r>
      <w:r w:rsidR="00917F97">
        <w:rPr>
          <w:color w:val="4F81BD" w:themeColor="accent1"/>
          <w:lang w:val="en-GB"/>
        </w:rPr>
        <w:t>distinct</w:t>
      </w:r>
      <w:r w:rsidRPr="00DC25F4">
        <w:rPr>
          <w:color w:val="4F81BD" w:themeColor="accent1"/>
          <w:lang w:val="en-GB"/>
        </w:rPr>
        <w:t xml:space="preserve"> coordination </w:t>
      </w:r>
      <w:r w:rsidR="005B3458">
        <w:rPr>
          <w:color w:val="4F81BD" w:themeColor="accent1"/>
          <w:lang w:val="en-GB"/>
        </w:rPr>
        <w:t>environments</w:t>
      </w:r>
      <w:r w:rsidRPr="00DC25F4">
        <w:rPr>
          <w:color w:val="4F81BD" w:themeColor="accent1"/>
          <w:lang w:val="en-GB"/>
        </w:rPr>
        <w:t xml:space="preserve">.  </w:t>
      </w:r>
      <w:r w:rsidR="005B3458" w:rsidRPr="005B3458">
        <w:rPr>
          <w:color w:val="4F81BD" w:themeColor="accent1"/>
          <w:lang w:val="en-GB"/>
        </w:rPr>
        <w:t>Thermogravimetric analysis (TGA)</w:t>
      </w:r>
      <w:r w:rsidR="005B3458">
        <w:rPr>
          <w:color w:val="4F81BD" w:themeColor="accent1"/>
          <w:lang w:val="en-GB"/>
        </w:rPr>
        <w:t xml:space="preserve"> demonstrated the</w:t>
      </w:r>
      <w:r w:rsidRPr="00DC25F4">
        <w:rPr>
          <w:color w:val="4F81BD" w:themeColor="accent1"/>
          <w:lang w:val="en-GB"/>
        </w:rPr>
        <w:t xml:space="preserve"> high thermal stability </w:t>
      </w:r>
      <w:r w:rsidR="005B3458">
        <w:rPr>
          <w:color w:val="4F81BD" w:themeColor="accent1"/>
          <w:lang w:val="en-GB"/>
        </w:rPr>
        <w:t>of the materials and further supported</w:t>
      </w:r>
      <w:r w:rsidRPr="00DC25F4">
        <w:rPr>
          <w:color w:val="4F81BD" w:themeColor="accent1"/>
          <w:lang w:val="en-GB"/>
        </w:rPr>
        <w:t xml:space="preserve"> Cu incorporation</w:t>
      </w:r>
      <w:r w:rsidR="005B3458">
        <w:rPr>
          <w:color w:val="4F81BD" w:themeColor="accent1"/>
          <w:lang w:val="en-GB"/>
        </w:rPr>
        <w:t>, as reflected by reduced</w:t>
      </w:r>
      <w:r w:rsidRPr="00DC25F4">
        <w:rPr>
          <w:color w:val="4F81BD" w:themeColor="accent1"/>
          <w:lang w:val="en-GB"/>
        </w:rPr>
        <w:t xml:space="preserve"> water uptake and </w:t>
      </w:r>
      <w:r w:rsidR="005B3458">
        <w:rPr>
          <w:color w:val="4F81BD" w:themeColor="accent1"/>
          <w:lang w:val="en-GB"/>
        </w:rPr>
        <w:t>increased</w:t>
      </w:r>
      <w:r w:rsidRPr="00DC25F4">
        <w:rPr>
          <w:color w:val="4F81BD" w:themeColor="accent1"/>
          <w:lang w:val="en-GB"/>
        </w:rPr>
        <w:t xml:space="preserve"> </w:t>
      </w:r>
      <w:r w:rsidR="005B3458">
        <w:rPr>
          <w:color w:val="4F81BD" w:themeColor="accent1"/>
          <w:lang w:val="en-GB"/>
        </w:rPr>
        <w:t>residual mass after decomposition</w:t>
      </w:r>
      <w:r w:rsidRPr="00DC25F4">
        <w:rPr>
          <w:color w:val="4F81BD" w:themeColor="accent1"/>
          <w:lang w:val="en-GB"/>
        </w:rPr>
        <w:t>.</w:t>
      </w:r>
      <w:r w:rsidR="00714A96">
        <w:rPr>
          <w:color w:val="4F81BD" w:themeColor="accent1"/>
          <w:lang w:val="en-GB"/>
        </w:rPr>
        <w:t xml:space="preserve"> Finally, </w:t>
      </w:r>
      <w:r w:rsidR="005B3458" w:rsidRPr="005B3458">
        <w:rPr>
          <w:color w:val="4F81BD" w:themeColor="accent1"/>
          <w:lang w:val="en-GB"/>
        </w:rPr>
        <w:t>scanning electron microscopy coupled with energy-dispersive X-ray spectroscopy (SEM–EDS)</w:t>
      </w:r>
      <w:r w:rsidR="005B3458">
        <w:rPr>
          <w:color w:val="4F81BD" w:themeColor="accent1"/>
          <w:lang w:val="en-GB"/>
        </w:rPr>
        <w:t xml:space="preserve"> </w:t>
      </w:r>
      <w:r w:rsidRPr="00DC25F4">
        <w:rPr>
          <w:color w:val="4F81BD" w:themeColor="accent1"/>
          <w:lang w:val="en-GB"/>
        </w:rPr>
        <w:t>reveal</w:t>
      </w:r>
      <w:r w:rsidR="005B3458">
        <w:rPr>
          <w:color w:val="4F81BD" w:themeColor="accent1"/>
          <w:lang w:val="en-GB"/>
        </w:rPr>
        <w:t>ed a</w:t>
      </w:r>
      <w:r w:rsidRPr="00DC25F4">
        <w:rPr>
          <w:color w:val="4F81BD" w:themeColor="accent1"/>
          <w:lang w:val="en-GB"/>
        </w:rPr>
        <w:t xml:space="preserve"> homogeneous Cu </w:t>
      </w:r>
      <w:r w:rsidR="005B3458">
        <w:rPr>
          <w:color w:val="4F81BD" w:themeColor="accent1"/>
          <w:lang w:val="en-GB"/>
        </w:rPr>
        <w:t xml:space="preserve">throughout the materials while preserving the original crystal morphology, </w:t>
      </w:r>
      <w:r w:rsidR="005B3458" w:rsidRPr="005B3458">
        <w:rPr>
          <w:color w:val="4F81BD" w:themeColor="accent1"/>
          <w:lang w:val="en-GB"/>
        </w:rPr>
        <w:t>confirming the effectiveness and robustness of the synthesis and modification procedures.</w:t>
      </w:r>
    </w:p>
    <w:p w14:paraId="165AC03E" w14:textId="3E2D743B" w:rsidR="00B116B9" w:rsidRDefault="00B116B9" w:rsidP="00B70F27">
      <w:pPr>
        <w:pStyle w:val="CETBodytext"/>
        <w:numPr>
          <w:ilvl w:val="2"/>
          <w:numId w:val="1"/>
        </w:numPr>
        <w:spacing w:before="120" w:after="120"/>
        <w:rPr>
          <w:b/>
          <w:bCs/>
          <w:lang w:val="en-GB"/>
        </w:rPr>
      </w:pPr>
      <w:r>
        <w:rPr>
          <w:b/>
          <w:bCs/>
          <w:lang w:val="en-GB"/>
        </w:rPr>
        <w:t>GDE formulation</w:t>
      </w:r>
    </w:p>
    <w:p w14:paraId="777BA24F" w14:textId="2CDE7094" w:rsidR="007F1486" w:rsidRDefault="00B70F27" w:rsidP="008F1B3D">
      <w:pPr>
        <w:pStyle w:val="CETBodytext"/>
      </w:pPr>
      <w:r w:rsidRPr="00B70F27">
        <w:t>In this first part of the results, the work carried out on the electrode design for the electrochemical conversion of CO</w:t>
      </w:r>
      <w:r w:rsidRPr="00B70F27">
        <w:rPr>
          <w:rFonts w:ascii="Cambria Math" w:hAnsi="Cambria Math" w:cs="Cambria Math"/>
        </w:rPr>
        <w:t>₂</w:t>
      </w:r>
      <w:r w:rsidRPr="00B70F27">
        <w:t xml:space="preserve"> to methane is presented. In particular, the study focuses on the type of ionomer used as a binder in the </w:t>
      </w:r>
      <w:r>
        <w:t>GDE</w:t>
      </w:r>
      <w:r w:rsidRPr="00B70F27">
        <w:t xml:space="preserve"> and its influence on maximizing methane production. To this end, a reference catalyst (Cu</w:t>
      </w:r>
      <w:r w:rsidRPr="00B70F27">
        <w:rPr>
          <w:rFonts w:ascii="Cambria Math" w:hAnsi="Cambria Math" w:cs="Cambria Math"/>
        </w:rPr>
        <w:t>‑</w:t>
      </w:r>
      <w:r w:rsidRPr="00B70F27">
        <w:t>UiO66) is employed to fabricate electrodes with an identical catalytic loading of 1.5 mg cm</w:t>
      </w:r>
      <w:r w:rsidRPr="00B70F27">
        <w:rPr>
          <w:rFonts w:ascii="Cambria Math" w:hAnsi="Cambria Math" w:cs="Cambria Math"/>
        </w:rPr>
        <w:t>⁻</w:t>
      </w:r>
      <w:r w:rsidRPr="00B70F27">
        <w:rPr>
          <w:rFonts w:cs="Arial"/>
        </w:rPr>
        <w:t>²</w:t>
      </w:r>
      <w:r w:rsidRPr="00B70F27">
        <w:t>, using either Nafion or Sustainion as the ionomer. In both cases, the ionomer constitutes 10 wt% of the total catalyst–ionomer mixture (90:10 catalyst</w:t>
      </w:r>
      <w:r w:rsidRPr="00B70F27">
        <w:rPr>
          <w:rFonts w:ascii="Cambria Math" w:hAnsi="Cambria Math" w:cs="Cambria Math"/>
        </w:rPr>
        <w:t>‑</w:t>
      </w:r>
      <w:r w:rsidRPr="00B70F27">
        <w:t>to</w:t>
      </w:r>
      <w:r w:rsidRPr="00B70F27">
        <w:rPr>
          <w:rFonts w:ascii="Cambria Math" w:hAnsi="Cambria Math" w:cs="Cambria Math"/>
        </w:rPr>
        <w:t>‑</w:t>
      </w:r>
      <w:r w:rsidRPr="00B70F27">
        <w:t>ionomer mass ratio). As shown in Figure 1, changing the ionomer modifies the dominant charge transport mechanism within the GDE, which has a pronounced effect on the performance of the electrochemical CO</w:t>
      </w:r>
      <w:r w:rsidRPr="00B70F27">
        <w:rPr>
          <w:rFonts w:ascii="Cambria Math" w:hAnsi="Cambria Math" w:cs="Cambria Math"/>
        </w:rPr>
        <w:t>₂</w:t>
      </w:r>
      <w:r w:rsidRPr="00B70F27">
        <w:t xml:space="preserve"> reduction reaction</w:t>
      </w:r>
      <w:r>
        <w:t>.</w:t>
      </w:r>
    </w:p>
    <w:p w14:paraId="6C91A9E4" w14:textId="1576DAAB" w:rsidR="00FA15B3" w:rsidRDefault="00C339E7" w:rsidP="005B3458">
      <w:pPr>
        <w:pStyle w:val="CETBodytext"/>
        <w:jc w:val="center"/>
      </w:pPr>
      <w:r>
        <w:rPr>
          <w:noProof/>
        </w:rPr>
        <w:drawing>
          <wp:inline distT="0" distB="0" distL="0" distR="0" wp14:anchorId="0BAF89A5" wp14:editId="6D04F9EB">
            <wp:extent cx="3752850" cy="1689838"/>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0"/>
                    <a:srcRect l="3073" t="16690" r="5941" b="10479"/>
                    <a:stretch/>
                  </pic:blipFill>
                  <pic:spPr bwMode="auto">
                    <a:xfrm>
                      <a:off x="0" y="0"/>
                      <a:ext cx="3806335" cy="1713921"/>
                    </a:xfrm>
                    <a:prstGeom prst="rect">
                      <a:avLst/>
                    </a:prstGeom>
                    <a:ln>
                      <a:noFill/>
                    </a:ln>
                    <a:extLst>
                      <a:ext uri="{53640926-AAD7-44D8-BBD7-CCE9431645EC}">
                        <a14:shadowObscured xmlns:a14="http://schemas.microsoft.com/office/drawing/2010/main"/>
                      </a:ext>
                    </a:extLst>
                  </pic:spPr>
                </pic:pic>
              </a:graphicData>
            </a:graphic>
          </wp:inline>
        </w:drawing>
      </w:r>
    </w:p>
    <w:p w14:paraId="0829FB5B" w14:textId="307CD606" w:rsidR="00534415" w:rsidRPr="00B57B36" w:rsidRDefault="00534415" w:rsidP="00534415">
      <w:pPr>
        <w:pStyle w:val="CETTabletitle"/>
        <w:spacing w:before="0" w:after="0"/>
      </w:pPr>
      <w:r>
        <w:t>Figure</w:t>
      </w:r>
      <w:r w:rsidRPr="00B57B36">
        <w:t xml:space="preserve"> 1: </w:t>
      </w:r>
      <w:r>
        <w:t>CO</w:t>
      </w:r>
      <w:r w:rsidRPr="00534415">
        <w:rPr>
          <w:vertAlign w:val="subscript"/>
        </w:rPr>
        <w:t>2</w:t>
      </w:r>
      <w:r>
        <w:t xml:space="preserve"> electroreduction to CH</w:t>
      </w:r>
      <w:r w:rsidRPr="00534415">
        <w:rPr>
          <w:vertAlign w:val="subscript"/>
        </w:rPr>
        <w:t>4</w:t>
      </w:r>
      <w:r>
        <w:t xml:space="preserve"> in terms of </w:t>
      </w:r>
      <w:r w:rsidR="00B774A2">
        <w:t>FEs</w:t>
      </w:r>
      <w:r>
        <w:t xml:space="preserve"> for GDEs with a) Nafion, and b) </w:t>
      </w:r>
      <w:r w:rsidR="008B4AE4" w:rsidRPr="008B4AE4">
        <w:t>Sustainion</w:t>
      </w:r>
      <w:r w:rsidR="00CB0FFF">
        <w:t xml:space="preserve"> </w:t>
      </w:r>
      <w:r>
        <w:t>as ionomer.</w:t>
      </w:r>
    </w:p>
    <w:p w14:paraId="3818F2F3" w14:textId="77777777" w:rsidR="00343A16" w:rsidRDefault="00343A16" w:rsidP="008F1B3D">
      <w:pPr>
        <w:pStyle w:val="CETBodytext"/>
      </w:pPr>
    </w:p>
    <w:p w14:paraId="62342EE1" w14:textId="628B8E8C" w:rsidR="00343A16" w:rsidRDefault="003C71FC" w:rsidP="008F1B3D">
      <w:pPr>
        <w:pStyle w:val="CETBodytext"/>
      </w:pPr>
      <w:r w:rsidRPr="003C71FC">
        <w:t>As shown in Figure 1, when Sustainion is used as the ionomer, significantly higher CH</w:t>
      </w:r>
      <w:r w:rsidRPr="003C71FC">
        <w:rPr>
          <w:rFonts w:ascii="Cambria Math" w:hAnsi="Cambria Math" w:cs="Cambria Math"/>
        </w:rPr>
        <w:t>₄</w:t>
      </w:r>
      <w:r w:rsidRPr="003C71FC">
        <w:t xml:space="preserve"> production is obtained, reaching </w:t>
      </w:r>
      <w:r w:rsidR="00096E72">
        <w:t>FE</w:t>
      </w:r>
      <w:r w:rsidRPr="003C71FC">
        <w:t xml:space="preserve"> values between 15 and 25%, compared to the 5</w:t>
      </w:r>
      <w:r w:rsidRPr="003C71FC">
        <w:rPr>
          <w:rFonts w:cs="Arial"/>
        </w:rPr>
        <w:t>–</w:t>
      </w:r>
      <w:r w:rsidRPr="003C71FC">
        <w:t>10% achieved when Nafion is employed as the ionomer. In this case, enhanced anion transport improves the selectivity toward methane while simultaneously suppressing or disfavoring the hydrogen evolution reaction (HER), which is the main competing reaction in this system.</w:t>
      </w:r>
      <w:r w:rsidR="00063EBF">
        <w:t xml:space="preserve"> </w:t>
      </w:r>
      <w:r w:rsidR="00063EBF" w:rsidRPr="00063EBF">
        <w:t xml:space="preserve">Therefore, Sustainion was selected as the ionomer for the fabrication of </w:t>
      </w:r>
      <w:r w:rsidR="00096E72">
        <w:t>GDEs</w:t>
      </w:r>
      <w:r w:rsidR="00063EBF" w:rsidRPr="00063EBF">
        <w:t xml:space="preserve"> for the electroreduction of CO</w:t>
      </w:r>
      <w:r w:rsidR="00063EBF" w:rsidRPr="00063EBF">
        <w:rPr>
          <w:rFonts w:ascii="Cambria Math" w:hAnsi="Cambria Math" w:cs="Cambria Math"/>
        </w:rPr>
        <w:t>₂</w:t>
      </w:r>
      <w:r w:rsidR="00063EBF" w:rsidRPr="00063EBF">
        <w:t xml:space="preserve"> to methane. </w:t>
      </w:r>
      <w:r w:rsidR="00CC4A81">
        <w:t xml:space="preserve"> </w:t>
      </w:r>
      <w:r w:rsidR="00063EBF" w:rsidRPr="00063EBF">
        <w:t>Regarding the catalyst</w:t>
      </w:r>
      <w:r w:rsidR="00063EBF" w:rsidRPr="00063EBF">
        <w:rPr>
          <w:rFonts w:cs="Arial"/>
        </w:rPr>
        <w:t>–</w:t>
      </w:r>
      <w:r w:rsidR="00063EBF" w:rsidRPr="00063EBF">
        <w:t>ionomer ratio, a high catalyst loading was chosen, for example</w:t>
      </w:r>
      <w:r w:rsidR="002C5012">
        <w:t>,</w:t>
      </w:r>
      <w:r w:rsidR="00063EBF" w:rsidRPr="00063EBF">
        <w:t xml:space="preserve"> 90 wt% catalyst and 10 wt% ionomer, since an excessive ionomer content could enhance </w:t>
      </w:r>
      <w:r w:rsidR="003515FB">
        <w:t>ionic</w:t>
      </w:r>
      <w:r w:rsidR="003515FB" w:rsidRPr="00063EBF">
        <w:t xml:space="preserve"> </w:t>
      </w:r>
      <w:r w:rsidR="00063EBF" w:rsidRPr="00063EBF">
        <w:t>transport</w:t>
      </w:r>
      <w:r w:rsidR="003515FB">
        <w:t xml:space="preserve"> pathways</w:t>
      </w:r>
      <w:r w:rsidR="008040F4">
        <w:t xml:space="preserve"> but also alter the catalyst-gas interface</w:t>
      </w:r>
      <w:r w:rsidR="00063EBF" w:rsidRPr="00063EBF">
        <w:t>. While improved anion transport may influence reaction kinetics, it can also lead to a shift in reaction selectivity, favoring alternative products such as CO rather than methane.</w:t>
      </w:r>
    </w:p>
    <w:p w14:paraId="1EE88CCB" w14:textId="77777777" w:rsidR="006448BE" w:rsidRDefault="006448BE" w:rsidP="008F1B3D">
      <w:pPr>
        <w:pStyle w:val="CETBodytext"/>
      </w:pPr>
    </w:p>
    <w:p w14:paraId="5042742A" w14:textId="054E81D3" w:rsidR="00DE3C41" w:rsidRDefault="00DE3C41" w:rsidP="00DE3C41">
      <w:pPr>
        <w:pStyle w:val="CETBodytext"/>
        <w:numPr>
          <w:ilvl w:val="2"/>
          <w:numId w:val="1"/>
        </w:numPr>
        <w:spacing w:before="120" w:after="120"/>
        <w:rPr>
          <w:b/>
          <w:bCs/>
          <w:lang w:val="en-GB"/>
        </w:rPr>
      </w:pPr>
      <w:r>
        <w:rPr>
          <w:b/>
          <w:bCs/>
          <w:lang w:val="en-GB"/>
        </w:rPr>
        <w:t>Catalyst screening</w:t>
      </w:r>
    </w:p>
    <w:p w14:paraId="16D86F3D" w14:textId="27DC7CF2" w:rsidR="00D04B34" w:rsidRPr="00A55F26" w:rsidRDefault="00D13159" w:rsidP="00A55F26">
      <w:pPr>
        <w:pStyle w:val="CETBodytext"/>
        <w:spacing w:before="120" w:after="120"/>
        <w:rPr>
          <w:lang w:val="en-GB"/>
        </w:rPr>
      </w:pPr>
      <w:r w:rsidRPr="00D13159">
        <w:rPr>
          <w:lang w:val="en-GB"/>
        </w:rPr>
        <w:lastRenderedPageBreak/>
        <w:t xml:space="preserve">In the material screening stage, different catalyst structures </w:t>
      </w:r>
      <w:r w:rsidR="0024129E">
        <w:rPr>
          <w:lang w:val="en-GB"/>
        </w:rPr>
        <w:t>were</w:t>
      </w:r>
      <w:r w:rsidRPr="00D13159">
        <w:rPr>
          <w:lang w:val="en-GB"/>
        </w:rPr>
        <w:t xml:space="preserve"> evaluated. Initially, the study will focus on GQDs doped with various heteroatoms, including sulfur, nitrogen, a combination of both</w:t>
      </w:r>
      <w:r w:rsidR="00027D0E">
        <w:rPr>
          <w:lang w:val="en-GB"/>
        </w:rPr>
        <w:t>, and boron</w:t>
      </w:r>
      <w:r w:rsidRPr="00D13159">
        <w:rPr>
          <w:lang w:val="en-GB"/>
        </w:rPr>
        <w:t>.</w:t>
      </w:r>
      <w:r w:rsidR="00B96021">
        <w:rPr>
          <w:lang w:val="en-GB"/>
        </w:rPr>
        <w:t xml:space="preserve"> The </w:t>
      </w:r>
      <w:r w:rsidR="00027D0E">
        <w:rPr>
          <w:lang w:val="en-GB"/>
        </w:rPr>
        <w:t xml:space="preserve">preliminary </w:t>
      </w:r>
      <w:r w:rsidR="00B96021">
        <w:rPr>
          <w:lang w:val="en-GB"/>
        </w:rPr>
        <w:t>performance of these materials is evaluated in terms of FE.</w:t>
      </w:r>
      <w:r w:rsidR="00CC4A81">
        <w:rPr>
          <w:lang w:val="en-GB"/>
        </w:rPr>
        <w:t xml:space="preserve"> </w:t>
      </w:r>
      <w:r w:rsidR="00D04B34" w:rsidRPr="008D267D">
        <w:t xml:space="preserve">As shown in Figure 2, the catalytic performance of these materials is currently limited. Among the investigated catalysts, only the sulfur-doped GQD exhibits a noticeable activity, reaching </w:t>
      </w:r>
      <w:r w:rsidR="00D04B34">
        <w:t>FEs</w:t>
      </w:r>
      <w:r w:rsidR="00D04B34" w:rsidRPr="008D267D">
        <w:t xml:space="preserve"> toward methane of up to 14% at a current density of 50 mA cm</w:t>
      </w:r>
      <w:r w:rsidR="00D04B34" w:rsidRPr="008D267D">
        <w:rPr>
          <w:rFonts w:ascii="Cambria Math" w:hAnsi="Cambria Math" w:cs="Cambria Math"/>
        </w:rPr>
        <w:t>⁻</w:t>
      </w:r>
      <w:r w:rsidR="00D04B34" w:rsidRPr="008D267D">
        <w:rPr>
          <w:rFonts w:cs="Arial"/>
        </w:rPr>
        <w:t>²</w:t>
      </w:r>
      <w:r w:rsidR="00D04B34" w:rsidRPr="008D267D">
        <w:t>.</w:t>
      </w:r>
      <w:r w:rsidR="00C83720">
        <w:t xml:space="preserve"> </w:t>
      </w:r>
      <w:r w:rsidR="00DA1C03" w:rsidRPr="00C4527A">
        <w:rPr>
          <w:color w:val="4F81BD" w:themeColor="accent1"/>
        </w:rPr>
        <w:t xml:space="preserve">The </w:t>
      </w:r>
      <w:r w:rsidR="00522923">
        <w:rPr>
          <w:color w:val="4F81BD" w:themeColor="accent1"/>
        </w:rPr>
        <w:t>enhanced</w:t>
      </w:r>
      <w:r w:rsidR="00DA1C03" w:rsidRPr="00C4527A">
        <w:rPr>
          <w:color w:val="4F81BD" w:themeColor="accent1"/>
        </w:rPr>
        <w:t xml:space="preserve"> CH</w:t>
      </w:r>
      <w:r w:rsidR="00DA1C03" w:rsidRPr="00C4527A">
        <w:rPr>
          <w:color w:val="4F81BD" w:themeColor="accent1"/>
          <w:vertAlign w:val="subscript"/>
        </w:rPr>
        <w:t>4</w:t>
      </w:r>
      <w:r w:rsidR="00DA1C03" w:rsidRPr="00C4527A">
        <w:rPr>
          <w:color w:val="4F81BD" w:themeColor="accent1"/>
        </w:rPr>
        <w:t xml:space="preserve"> production </w:t>
      </w:r>
      <w:r w:rsidR="00522923">
        <w:rPr>
          <w:color w:val="4F81BD" w:themeColor="accent1"/>
        </w:rPr>
        <w:t>observed for</w:t>
      </w:r>
      <w:r w:rsidR="00DA1C03" w:rsidRPr="00C4527A">
        <w:rPr>
          <w:color w:val="4F81BD" w:themeColor="accent1"/>
        </w:rPr>
        <w:t xml:space="preserve"> the sulfur-doped GQDs </w:t>
      </w:r>
      <w:r w:rsidR="002D5F58" w:rsidRPr="00C4527A">
        <w:rPr>
          <w:color w:val="4F81BD" w:themeColor="accent1"/>
        </w:rPr>
        <w:t xml:space="preserve">is attributed to sulfur-induced electronic effects that </w:t>
      </w:r>
      <w:r w:rsidR="00522923">
        <w:rPr>
          <w:color w:val="4F81BD" w:themeColor="accent1"/>
        </w:rPr>
        <w:t>improve</w:t>
      </w:r>
      <w:r w:rsidR="002D5F58" w:rsidRPr="00C4527A">
        <w:rPr>
          <w:color w:val="4F81BD" w:themeColor="accent1"/>
        </w:rPr>
        <w:t xml:space="preserve"> CO</w:t>
      </w:r>
      <w:r w:rsidR="002D5F58" w:rsidRPr="00C4527A">
        <w:rPr>
          <w:color w:val="4F81BD" w:themeColor="accent1"/>
          <w:vertAlign w:val="subscript"/>
        </w:rPr>
        <w:t>2</w:t>
      </w:r>
      <w:r w:rsidR="002D5F58" w:rsidRPr="00C4527A">
        <w:rPr>
          <w:color w:val="4F81BD" w:themeColor="accent1"/>
        </w:rPr>
        <w:t xml:space="preserve"> adsorption and </w:t>
      </w:r>
      <w:r w:rsidR="00522923">
        <w:rPr>
          <w:color w:val="4F81BD" w:themeColor="accent1"/>
        </w:rPr>
        <w:t xml:space="preserve">stabilize key reaction intermediates. </w:t>
      </w:r>
      <w:r w:rsidR="00201437" w:rsidRPr="00201437">
        <w:rPr>
          <w:color w:val="4F81BD" w:themeColor="accent1"/>
        </w:rPr>
        <w:t>Sulfur incorporation modifies the electronic structure of graphene, promoting a more favorable charge distribution and enhancing selectivity toward CH</w:t>
      </w:r>
      <w:r w:rsidR="00201437" w:rsidRPr="00201437">
        <w:rPr>
          <w:rFonts w:ascii="Cambria Math" w:hAnsi="Cambria Math" w:cs="Cambria Math"/>
          <w:color w:val="4F81BD" w:themeColor="accent1"/>
        </w:rPr>
        <w:t>₄</w:t>
      </w:r>
      <w:r w:rsidR="00201437" w:rsidRPr="00201437">
        <w:rPr>
          <w:color w:val="4F81BD" w:themeColor="accent1"/>
        </w:rPr>
        <w:t xml:space="preserve"> formation</w:t>
      </w:r>
      <w:r w:rsidR="00F04A1B">
        <w:t>.</w:t>
      </w:r>
      <w:r w:rsidR="00D04B34" w:rsidRPr="008D267D">
        <w:t xml:space="preserve"> Therefore, </w:t>
      </w:r>
      <w:r w:rsidR="00D04B34">
        <w:t>to</w:t>
      </w:r>
      <w:r w:rsidR="00D04B34" w:rsidRPr="008D267D">
        <w:t xml:space="preserve"> integrate this type of catalytic </w:t>
      </w:r>
      <w:r w:rsidR="00D04B34">
        <w:t>structure</w:t>
      </w:r>
      <w:r w:rsidR="00D04B34" w:rsidRPr="008D267D">
        <w:t xml:space="preserve"> into a 100 cm² electrolyzer, it is necessary to further improve methane productivity. To this end, several strategies can be considered, such as increasing the dopant concentration within the material or implementing co-doping approaches, for instance by combining sulfur with other </w:t>
      </w:r>
      <w:r w:rsidR="00D04B34">
        <w:t>heteroatoms.</w:t>
      </w:r>
      <w:r w:rsidR="00A55F26">
        <w:rPr>
          <w:lang w:val="en-GB"/>
        </w:rPr>
        <w:t xml:space="preserve"> </w:t>
      </w:r>
      <w:r w:rsidR="00DF0AA9" w:rsidRPr="00EE5257">
        <w:t>Subsequently, MOF-based catalysts were evaluated</w:t>
      </w:r>
      <w:r w:rsidR="00F85A40">
        <w:t xml:space="preserve"> (Figure 3)</w:t>
      </w:r>
      <w:r w:rsidR="00DF0AA9" w:rsidRPr="00EE5257">
        <w:t>. In this study, six different materials with distinct structural variations were synthesized</w:t>
      </w:r>
      <w:r w:rsidR="00DF0AA9">
        <w:t xml:space="preserve">, </w:t>
      </w:r>
      <w:r w:rsidR="00DF0AA9" w:rsidRPr="00EE5257">
        <w:t>namely Cux</w:t>
      </w:r>
      <w:r w:rsidR="00DF0AA9" w:rsidRPr="00EE5257">
        <w:rPr>
          <w:rFonts w:ascii="Cambria Math" w:hAnsi="Cambria Math" w:cs="Cambria Math"/>
        </w:rPr>
        <w:t>‑</w:t>
      </w:r>
      <w:r w:rsidR="00DF0AA9" w:rsidRPr="00EE5257">
        <w:t>MOF</w:t>
      </w:r>
      <w:r w:rsidR="00DF0AA9">
        <w:t>5</w:t>
      </w:r>
      <w:r w:rsidR="00DF0AA9" w:rsidRPr="00EE5257">
        <w:rPr>
          <w:rFonts w:ascii="Cambria Math" w:hAnsi="Cambria Math" w:cs="Cambria Math"/>
        </w:rPr>
        <w:t>‑</w:t>
      </w:r>
      <w:r w:rsidR="00DF0AA9" w:rsidRPr="00EE5257">
        <w:t>MET, Cux</w:t>
      </w:r>
      <w:r w:rsidR="00DF0AA9" w:rsidRPr="00EE5257">
        <w:rPr>
          <w:rFonts w:ascii="Cambria Math" w:hAnsi="Cambria Math" w:cs="Cambria Math"/>
        </w:rPr>
        <w:t>‑</w:t>
      </w:r>
      <w:r w:rsidR="00DF0AA9" w:rsidRPr="00EE5257">
        <w:t>UiO66</w:t>
      </w:r>
      <w:r w:rsidR="00DF0AA9" w:rsidRPr="00EE5257">
        <w:rPr>
          <w:rFonts w:ascii="Cambria Math" w:hAnsi="Cambria Math" w:cs="Cambria Math"/>
        </w:rPr>
        <w:t>‑</w:t>
      </w:r>
      <w:r w:rsidR="00DF0AA9" w:rsidRPr="00EE5257">
        <w:t>M</w:t>
      </w:r>
      <w:r w:rsidR="0095114D">
        <w:t>ET</w:t>
      </w:r>
      <w:r w:rsidR="00DF0AA9" w:rsidRPr="00EE5257">
        <w:t>, Cux</w:t>
      </w:r>
      <w:r w:rsidR="00DF0AA9" w:rsidRPr="00EE5257">
        <w:rPr>
          <w:rFonts w:ascii="Cambria Math" w:hAnsi="Cambria Math" w:cs="Cambria Math"/>
        </w:rPr>
        <w:t>‑</w:t>
      </w:r>
      <w:r w:rsidR="00DF0AA9" w:rsidRPr="00EE5257">
        <w:t>UiO66</w:t>
      </w:r>
      <w:r w:rsidR="00DF0AA9" w:rsidRPr="00EE5257">
        <w:rPr>
          <w:rFonts w:ascii="Cambria Math" w:hAnsi="Cambria Math" w:cs="Cambria Math"/>
        </w:rPr>
        <w:t>‑</w:t>
      </w:r>
      <w:r w:rsidR="00DF0AA9" w:rsidRPr="00EE5257">
        <w:t>I</w:t>
      </w:r>
      <w:r w:rsidR="0095114D">
        <w:t>E</w:t>
      </w:r>
      <w:r w:rsidR="00DF0AA9" w:rsidRPr="00EE5257">
        <w:t>, Cu</w:t>
      </w:r>
      <w:r w:rsidR="00DF0AA9" w:rsidRPr="00EE5257">
        <w:rPr>
          <w:rFonts w:ascii="Cambria Math" w:hAnsi="Cambria Math" w:cs="Cambria Math"/>
        </w:rPr>
        <w:t>‑</w:t>
      </w:r>
      <w:r w:rsidR="00DF0AA9" w:rsidRPr="00EE5257">
        <w:t>ZIF8</w:t>
      </w:r>
      <w:r w:rsidR="00DF0AA9" w:rsidRPr="00EE5257">
        <w:rPr>
          <w:rFonts w:ascii="Cambria Math" w:hAnsi="Cambria Math" w:cs="Cambria Math"/>
        </w:rPr>
        <w:t>‑</w:t>
      </w:r>
      <w:r w:rsidR="00DF0AA9" w:rsidRPr="00EE5257">
        <w:t>(1:2 Cu/Zn), Cu</w:t>
      </w:r>
      <w:r w:rsidR="00DF0AA9" w:rsidRPr="00EE5257">
        <w:rPr>
          <w:rFonts w:ascii="Cambria Math" w:hAnsi="Cambria Math" w:cs="Cambria Math"/>
        </w:rPr>
        <w:t>‑</w:t>
      </w:r>
      <w:r w:rsidR="00DF0AA9" w:rsidRPr="00EE5257">
        <w:t>ZIF8</w:t>
      </w:r>
      <w:r w:rsidR="00DF0AA9" w:rsidRPr="00EE5257">
        <w:rPr>
          <w:rFonts w:ascii="Cambria Math" w:hAnsi="Cambria Math" w:cs="Cambria Math"/>
        </w:rPr>
        <w:t>‑</w:t>
      </w:r>
      <w:r w:rsidR="00DF0AA9" w:rsidRPr="00EE5257">
        <w:t>(1:1 Cu/Zn), and Cu</w:t>
      </w:r>
      <w:r w:rsidR="00DF0AA9" w:rsidRPr="00EE5257">
        <w:rPr>
          <w:rFonts w:ascii="Cambria Math" w:hAnsi="Cambria Math" w:cs="Cambria Math"/>
        </w:rPr>
        <w:t>‑</w:t>
      </w:r>
      <w:r w:rsidR="00DF0AA9" w:rsidRPr="00EE5257">
        <w:t>ZIF8</w:t>
      </w:r>
      <w:r w:rsidR="00DF0AA9" w:rsidRPr="00EE5257">
        <w:rPr>
          <w:rFonts w:ascii="Cambria Math" w:hAnsi="Cambria Math" w:cs="Cambria Math"/>
        </w:rPr>
        <w:t>‑</w:t>
      </w:r>
      <w:r w:rsidR="00DF0AA9" w:rsidRPr="00EE5257">
        <w:t xml:space="preserve">(2:1 Cu/Zn). Their electrochemical performance was assessed in terms of </w:t>
      </w:r>
      <w:r w:rsidR="00DF0AA9">
        <w:t>FE</w:t>
      </w:r>
      <w:r w:rsidR="00DF0AA9" w:rsidRPr="00EE5257">
        <w:t xml:space="preserve"> toward </w:t>
      </w:r>
      <w:r w:rsidR="00DF0AA9">
        <w:t>methane</w:t>
      </w:r>
      <w:r w:rsidR="00DF0AA9" w:rsidRPr="00EE5257">
        <w:t>.</w:t>
      </w:r>
      <w:r w:rsidR="00DF0AA9">
        <w:t xml:space="preserve"> </w:t>
      </w:r>
      <w:r w:rsidR="00DF0AA9" w:rsidRPr="0017554C">
        <w:t xml:space="preserve">As shown in Figure </w:t>
      </w:r>
      <w:r w:rsidR="00DF0AA9">
        <w:t>3</w:t>
      </w:r>
      <w:r w:rsidR="00DF0AA9" w:rsidRPr="0017554C">
        <w:t>, the catalysts exhibiting the best performance at a current density of 50 mA cm</w:t>
      </w:r>
      <w:r w:rsidR="00DF0AA9" w:rsidRPr="0017554C">
        <w:rPr>
          <w:rFonts w:ascii="Cambria Math" w:hAnsi="Cambria Math" w:cs="Cambria Math"/>
        </w:rPr>
        <w:t>⁻</w:t>
      </w:r>
      <w:r w:rsidR="00DF0AA9" w:rsidRPr="0017554C">
        <w:rPr>
          <w:rFonts w:cs="Arial"/>
        </w:rPr>
        <w:t>²</w:t>
      </w:r>
      <w:r w:rsidR="00DF0AA9" w:rsidRPr="0017554C">
        <w:t xml:space="preserve"> are Cux</w:t>
      </w:r>
      <w:r w:rsidR="00DF0AA9" w:rsidRPr="0017554C">
        <w:rPr>
          <w:rFonts w:ascii="Cambria Math" w:hAnsi="Cambria Math" w:cs="Cambria Math"/>
        </w:rPr>
        <w:t>‑</w:t>
      </w:r>
      <w:r w:rsidR="00DF0AA9" w:rsidRPr="0017554C">
        <w:t>MOF</w:t>
      </w:r>
      <w:r w:rsidR="003509F0">
        <w:t>5</w:t>
      </w:r>
      <w:r w:rsidR="00DF0AA9" w:rsidRPr="0017554C">
        <w:rPr>
          <w:rFonts w:ascii="Cambria Math" w:hAnsi="Cambria Math" w:cs="Cambria Math"/>
        </w:rPr>
        <w:t>‑</w:t>
      </w:r>
      <w:r w:rsidR="00DF0AA9" w:rsidRPr="0017554C">
        <w:t>MET and Cu</w:t>
      </w:r>
      <w:r w:rsidR="00DF0AA9" w:rsidRPr="0017554C">
        <w:rPr>
          <w:rFonts w:ascii="Cambria Math" w:hAnsi="Cambria Math" w:cs="Cambria Math"/>
        </w:rPr>
        <w:t>‑</w:t>
      </w:r>
      <w:r w:rsidR="00DF0AA9" w:rsidRPr="0017554C">
        <w:t>ZIF8</w:t>
      </w:r>
      <w:r w:rsidR="00DF0AA9">
        <w:rPr>
          <w:rFonts w:ascii="Cambria Math" w:hAnsi="Cambria Math" w:cs="Cambria Math"/>
        </w:rPr>
        <w:t>-</w:t>
      </w:r>
      <w:r w:rsidR="00DF0AA9" w:rsidRPr="0017554C">
        <w:t xml:space="preserve">(1:1 Cu/Zn), which achieve </w:t>
      </w:r>
      <w:r w:rsidR="00DF0AA9">
        <w:t>FE</w:t>
      </w:r>
      <w:r w:rsidR="00DF0AA9" w:rsidRPr="0017554C">
        <w:t xml:space="preserve">s toward methane of 44.3% and 27.8%, respectively. </w:t>
      </w:r>
      <w:r w:rsidR="00A55F26" w:rsidRPr="00A55F26">
        <w:rPr>
          <w:color w:val="4F81BD" w:themeColor="accent1"/>
        </w:rPr>
        <w:t>As discussed above, the MOF in which Cu is incorporated via metalation exhibits enhanced CH</w:t>
      </w:r>
      <w:r w:rsidR="00A55F26" w:rsidRPr="00A55F26">
        <w:rPr>
          <w:rFonts w:ascii="Cambria Math" w:hAnsi="Cambria Math" w:cs="Cambria Math"/>
          <w:color w:val="4F81BD" w:themeColor="accent1"/>
        </w:rPr>
        <w:t>₄</w:t>
      </w:r>
      <w:r w:rsidR="00A55F26" w:rsidRPr="00A55F26">
        <w:rPr>
          <w:color w:val="4F81BD" w:themeColor="accent1"/>
        </w:rPr>
        <w:t xml:space="preserve"> production, likely due to the formation of well-dispersed Cu active sites without significant clustering. In contrast, Cu incorporation through ion exchange may induce structural modifications and favor reaction pathways leading to C</w:t>
      </w:r>
      <w:r w:rsidR="00A55F26" w:rsidRPr="00A55F26">
        <w:rPr>
          <w:rFonts w:ascii="Cambria Math" w:hAnsi="Cambria Math" w:cs="Cambria Math"/>
          <w:color w:val="4F81BD" w:themeColor="accent1"/>
        </w:rPr>
        <w:t>₂</w:t>
      </w:r>
      <w:r w:rsidR="00A55F26" w:rsidRPr="00A55F26">
        <w:rPr>
          <w:color w:val="4F81BD" w:themeColor="accent1"/>
        </w:rPr>
        <w:t xml:space="preserve"> products. Among the studied materials, MOF-5 displays the highest specific surface area and porosity, as well as the greatest Cu loading in both weight and molar terms, resulting in a higher Cu/Zn ratio than the Cu/Zr ratio achieved in UiO-66. Furthermore, the presence of Zn may facilitate CO</w:t>
      </w:r>
      <w:r w:rsidR="00A55F26" w:rsidRPr="00A55F26">
        <w:rPr>
          <w:rFonts w:ascii="Cambria Math" w:hAnsi="Cambria Math" w:cs="Cambria Math"/>
          <w:color w:val="4F81BD" w:themeColor="accent1"/>
        </w:rPr>
        <w:t>₂</w:t>
      </w:r>
      <w:r w:rsidR="00A55F26" w:rsidRPr="00A55F26">
        <w:rPr>
          <w:color w:val="4F81BD" w:themeColor="accent1"/>
        </w:rPr>
        <w:t xml:space="preserve"> conversion through pathways that preferentially generate CO, which can subsequently be hydrogenated to CH</w:t>
      </w:r>
      <w:r w:rsidR="00A55F26" w:rsidRPr="00A55F26">
        <w:rPr>
          <w:rFonts w:ascii="Cambria Math" w:hAnsi="Cambria Math" w:cs="Cambria Math"/>
          <w:color w:val="4F81BD" w:themeColor="accent1"/>
        </w:rPr>
        <w:t>₄</w:t>
      </w:r>
      <w:r w:rsidR="00A55F26" w:rsidRPr="00A55F26">
        <w:rPr>
          <w:color w:val="4F81BD" w:themeColor="accent1"/>
        </w:rPr>
        <w:t xml:space="preserve"> on neighboring Cu sites. This synergistic effect is consistent with the higher CH</w:t>
      </w:r>
      <w:r w:rsidR="00A55F26" w:rsidRPr="00A55F26">
        <w:rPr>
          <w:rFonts w:ascii="Cambria Math" w:hAnsi="Cambria Math" w:cs="Cambria Math"/>
          <w:color w:val="4F81BD" w:themeColor="accent1"/>
        </w:rPr>
        <w:t>₄</w:t>
      </w:r>
      <w:r w:rsidR="00A55F26" w:rsidRPr="00A55F26">
        <w:rPr>
          <w:color w:val="4F81BD" w:themeColor="accent1"/>
        </w:rPr>
        <w:t xml:space="preserve"> selectivity observed for Zn-based MOFs (MOF-5 and ZIF-8) compared with the Zr-based UiO-66</w:t>
      </w:r>
      <w:r w:rsidR="00D05975" w:rsidRPr="00D05975">
        <w:t>.</w:t>
      </w:r>
      <w:r w:rsidR="000266EF">
        <w:t xml:space="preserve"> </w:t>
      </w:r>
      <w:r w:rsidR="00DF0AA9" w:rsidRPr="0017554C">
        <w:t>These results indicate that MOF</w:t>
      </w:r>
      <w:r w:rsidR="00DF0AA9" w:rsidRPr="0017554C">
        <w:rPr>
          <w:rFonts w:ascii="Cambria Math" w:hAnsi="Cambria Math" w:cs="Cambria Math"/>
        </w:rPr>
        <w:t>‑</w:t>
      </w:r>
      <w:r w:rsidR="00DF0AA9" w:rsidRPr="0017554C">
        <w:t xml:space="preserve">based materials display a pronounced selectivity toward methane formation. In contrast, the remaining catalysts show </w:t>
      </w:r>
      <w:r w:rsidR="004D311E">
        <w:t>greater contributions from the HER and other unquantified products,</w:t>
      </w:r>
      <w:r w:rsidR="00DF0AA9">
        <w:t xml:space="preserve"> such as alcohols,</w:t>
      </w:r>
      <w:r w:rsidR="00DF0AA9" w:rsidRPr="0017554C">
        <w:t xml:space="preserve"> leading to lower methane selectivity</w:t>
      </w:r>
      <w:r w:rsidR="00DF0AA9">
        <w:t>.</w:t>
      </w:r>
    </w:p>
    <w:p w14:paraId="7F21A3A9" w14:textId="1BC5BE76" w:rsidR="00B96021" w:rsidRDefault="00E671D5" w:rsidP="005B3458">
      <w:pPr>
        <w:pStyle w:val="CETBodytext"/>
        <w:spacing w:before="120" w:after="120"/>
        <w:jc w:val="center"/>
        <w:rPr>
          <w:lang w:val="en-GB"/>
        </w:rPr>
      </w:pPr>
      <w:r>
        <w:rPr>
          <w:noProof/>
          <w:lang w:val="en-GB"/>
        </w:rPr>
        <w:drawing>
          <wp:inline distT="0" distB="0" distL="0" distR="0" wp14:anchorId="0C286B58" wp14:editId="67DFDC87">
            <wp:extent cx="3561832" cy="1627505"/>
            <wp:effectExtent l="0" t="0" r="63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11"/>
                    <a:srcRect l="5634" t="15781" r="3209" b="10175"/>
                    <a:stretch/>
                  </pic:blipFill>
                  <pic:spPr bwMode="auto">
                    <a:xfrm>
                      <a:off x="0" y="0"/>
                      <a:ext cx="3585008" cy="1638095"/>
                    </a:xfrm>
                    <a:prstGeom prst="rect">
                      <a:avLst/>
                    </a:prstGeom>
                    <a:ln>
                      <a:noFill/>
                    </a:ln>
                    <a:extLst>
                      <a:ext uri="{53640926-AAD7-44D8-BBD7-CCE9431645EC}">
                        <a14:shadowObscured xmlns:a14="http://schemas.microsoft.com/office/drawing/2010/main"/>
                      </a:ext>
                    </a:extLst>
                  </pic:spPr>
                </pic:pic>
              </a:graphicData>
            </a:graphic>
          </wp:inline>
        </w:drawing>
      </w:r>
    </w:p>
    <w:p w14:paraId="3D5C9818" w14:textId="42142C0B" w:rsidR="003D59B5" w:rsidRDefault="003D59B5" w:rsidP="003D59B5">
      <w:pPr>
        <w:pStyle w:val="CETTabletitle"/>
        <w:spacing w:before="0" w:after="0"/>
      </w:pPr>
      <w:r>
        <w:t>Figure</w:t>
      </w:r>
      <w:r w:rsidRPr="00B57B36">
        <w:t xml:space="preserve"> </w:t>
      </w:r>
      <w:r>
        <w:t>2</w:t>
      </w:r>
      <w:r w:rsidRPr="00B57B36">
        <w:t xml:space="preserve">: </w:t>
      </w:r>
      <w:r>
        <w:t>CO</w:t>
      </w:r>
      <w:r w:rsidRPr="00534415">
        <w:rPr>
          <w:vertAlign w:val="subscript"/>
        </w:rPr>
        <w:t>2</w:t>
      </w:r>
      <w:r>
        <w:t xml:space="preserve"> electroreduction to CH</w:t>
      </w:r>
      <w:r w:rsidRPr="00534415">
        <w:rPr>
          <w:vertAlign w:val="subscript"/>
        </w:rPr>
        <w:t>4</w:t>
      </w:r>
      <w:r>
        <w:t xml:space="preserve"> in terms of </w:t>
      </w:r>
      <w:r w:rsidR="00DB19B9">
        <w:t>FEs</w:t>
      </w:r>
      <w:r>
        <w:t xml:space="preserve"> for the different </w:t>
      </w:r>
      <w:r w:rsidR="00633E0A">
        <w:t>GQD</w:t>
      </w:r>
      <w:r w:rsidR="00633E0A" w:rsidRPr="00633E0A">
        <w:rPr>
          <w:vertAlign w:val="subscript"/>
        </w:rPr>
        <w:t>S</w:t>
      </w:r>
      <w:r w:rsidR="00633E0A">
        <w:t xml:space="preserve"> catalysts at a) 50 mA cm</w:t>
      </w:r>
      <w:r w:rsidR="00633E0A" w:rsidRPr="00633E0A">
        <w:rPr>
          <w:vertAlign w:val="superscript"/>
        </w:rPr>
        <w:t>-2</w:t>
      </w:r>
      <w:r w:rsidR="00633E0A">
        <w:t>, and b) 100 mA cm</w:t>
      </w:r>
      <w:r w:rsidR="00633E0A" w:rsidRPr="00633E0A">
        <w:rPr>
          <w:vertAlign w:val="superscript"/>
        </w:rPr>
        <w:t>-2</w:t>
      </w:r>
      <w:r>
        <w:t>.</w:t>
      </w:r>
    </w:p>
    <w:p w14:paraId="463D997B" w14:textId="77777777" w:rsidR="003D59B5" w:rsidRPr="006558A6" w:rsidRDefault="003D59B5" w:rsidP="003D59B5">
      <w:pPr>
        <w:pStyle w:val="CETTabletitle"/>
        <w:spacing w:before="0" w:after="0"/>
      </w:pPr>
    </w:p>
    <w:p w14:paraId="02062823" w14:textId="145D83F7" w:rsidR="00EE5257" w:rsidRDefault="00073A0F" w:rsidP="005B3458">
      <w:pPr>
        <w:pStyle w:val="CETBodytext"/>
        <w:spacing w:after="120"/>
        <w:jc w:val="center"/>
      </w:pPr>
      <w:r>
        <w:rPr>
          <w:noProof/>
        </w:rPr>
        <w:drawing>
          <wp:inline distT="0" distB="0" distL="0" distR="0" wp14:anchorId="629C50E7" wp14:editId="57C2933A">
            <wp:extent cx="3209510" cy="162306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rotWithShape="1">
                    <a:blip r:embed="rId12"/>
                    <a:srcRect l="6657" t="5159" r="3550" b="14121"/>
                    <a:stretch/>
                  </pic:blipFill>
                  <pic:spPr bwMode="auto">
                    <a:xfrm>
                      <a:off x="0" y="0"/>
                      <a:ext cx="3281817" cy="1659626"/>
                    </a:xfrm>
                    <a:prstGeom prst="rect">
                      <a:avLst/>
                    </a:prstGeom>
                    <a:ln>
                      <a:noFill/>
                    </a:ln>
                    <a:extLst>
                      <a:ext uri="{53640926-AAD7-44D8-BBD7-CCE9431645EC}">
                        <a14:shadowObscured xmlns:a14="http://schemas.microsoft.com/office/drawing/2010/main"/>
                      </a:ext>
                    </a:extLst>
                  </pic:spPr>
                </pic:pic>
              </a:graphicData>
            </a:graphic>
          </wp:inline>
        </w:drawing>
      </w:r>
    </w:p>
    <w:p w14:paraId="4FB7C777" w14:textId="27FA6D66" w:rsidR="00DB19B9" w:rsidRDefault="00DB19B9" w:rsidP="00DB19B9">
      <w:pPr>
        <w:pStyle w:val="CETTabletitle"/>
        <w:spacing w:before="0" w:after="0"/>
      </w:pPr>
      <w:r>
        <w:t>Figure</w:t>
      </w:r>
      <w:r w:rsidRPr="00B57B36">
        <w:t xml:space="preserve"> </w:t>
      </w:r>
      <w:r w:rsidR="00C44345">
        <w:t>3</w:t>
      </w:r>
      <w:r w:rsidRPr="00B57B36">
        <w:t xml:space="preserve">: </w:t>
      </w:r>
      <w:r>
        <w:t>CO</w:t>
      </w:r>
      <w:r w:rsidRPr="00534415">
        <w:rPr>
          <w:vertAlign w:val="subscript"/>
        </w:rPr>
        <w:t>2</w:t>
      </w:r>
      <w:r>
        <w:t xml:space="preserve"> electroreduction to CH</w:t>
      </w:r>
      <w:r w:rsidRPr="00534415">
        <w:rPr>
          <w:vertAlign w:val="subscript"/>
        </w:rPr>
        <w:t>4</w:t>
      </w:r>
      <w:r>
        <w:t xml:space="preserve"> in terms of FEs for the different MOFs-based catalysts at a) 50 mA cm</w:t>
      </w:r>
      <w:r w:rsidRPr="00633E0A">
        <w:rPr>
          <w:vertAlign w:val="superscript"/>
        </w:rPr>
        <w:t>-2</w:t>
      </w:r>
      <w:r>
        <w:t>, and b) 100 mA cm</w:t>
      </w:r>
      <w:r w:rsidRPr="00633E0A">
        <w:rPr>
          <w:vertAlign w:val="superscript"/>
        </w:rPr>
        <w:t>-2</w:t>
      </w:r>
      <w:r>
        <w:t>.</w:t>
      </w:r>
    </w:p>
    <w:p w14:paraId="3C77DAEF" w14:textId="77777777" w:rsidR="00DB19B9" w:rsidRPr="00DB19B9" w:rsidRDefault="00DB19B9" w:rsidP="00116DF0">
      <w:pPr>
        <w:pStyle w:val="CETBodytext"/>
        <w:spacing w:after="120"/>
        <w:rPr>
          <w:lang w:val="en-GB"/>
        </w:rPr>
      </w:pPr>
    </w:p>
    <w:p w14:paraId="58DBCF60" w14:textId="2112CF60" w:rsidR="00766CDB" w:rsidRDefault="00766CDB" w:rsidP="00766CDB">
      <w:pPr>
        <w:pStyle w:val="CETHeading1"/>
        <w:rPr>
          <w:lang w:val="en-GB"/>
        </w:rPr>
      </w:pPr>
      <w:r>
        <w:rPr>
          <w:lang w:val="en-GB"/>
        </w:rPr>
        <w:lastRenderedPageBreak/>
        <w:t>Conclusions</w:t>
      </w:r>
      <w:r w:rsidR="00551A9C">
        <w:rPr>
          <w:lang w:val="en-GB"/>
        </w:rPr>
        <w:t xml:space="preserve"> and Future </w:t>
      </w:r>
      <w:r w:rsidR="003A552C">
        <w:rPr>
          <w:lang w:val="en-GB"/>
        </w:rPr>
        <w:t>Outlook</w:t>
      </w:r>
    </w:p>
    <w:p w14:paraId="403AE86F" w14:textId="1D4E3573" w:rsidR="00766CDB" w:rsidRDefault="001243D8" w:rsidP="00AB5A95">
      <w:pPr>
        <w:pStyle w:val="CETBodytext"/>
        <w:spacing w:before="120" w:after="120"/>
        <w:rPr>
          <w:lang w:val="en-GB"/>
        </w:rPr>
      </w:pPr>
      <w:r>
        <w:rPr>
          <w:lang w:val="en-GB"/>
        </w:rPr>
        <w:t>B</w:t>
      </w:r>
      <w:r w:rsidRPr="001243D8">
        <w:rPr>
          <w:lang w:val="en-GB"/>
        </w:rPr>
        <w:t>iogas represents a key renewable energy vector that can significantly contribute to decarbonization and local energy security, although its effective utilization requires efficient upgrading technologies. Conventional upgrading methods are mature but often energy</w:t>
      </w:r>
      <w:r w:rsidRPr="001243D8">
        <w:rPr>
          <w:rFonts w:ascii="Cambria Math" w:hAnsi="Cambria Math" w:cs="Cambria Math"/>
          <w:lang w:val="en-GB"/>
        </w:rPr>
        <w:t>‑</w:t>
      </w:r>
      <w:r w:rsidRPr="001243D8">
        <w:rPr>
          <w:lang w:val="en-GB"/>
        </w:rPr>
        <w:t>intensive and associated with methane losses, motivating the exploration of alternative routes. Electrochemical CO</w:t>
      </w:r>
      <w:r w:rsidRPr="001243D8">
        <w:rPr>
          <w:rFonts w:ascii="Cambria Math" w:hAnsi="Cambria Math" w:cs="Cambria Math"/>
          <w:lang w:val="en-GB"/>
        </w:rPr>
        <w:t>₂‑</w:t>
      </w:r>
      <w:r w:rsidRPr="001243D8">
        <w:rPr>
          <w:lang w:val="en-GB"/>
        </w:rPr>
        <w:t>to</w:t>
      </w:r>
      <w:r w:rsidRPr="001243D8">
        <w:rPr>
          <w:rFonts w:ascii="Cambria Math" w:hAnsi="Cambria Math" w:cs="Cambria Math"/>
          <w:lang w:val="en-GB"/>
        </w:rPr>
        <w:t>‑</w:t>
      </w:r>
      <w:r w:rsidRPr="001243D8">
        <w:rPr>
          <w:lang w:val="en-GB"/>
        </w:rPr>
        <w:t>CH</w:t>
      </w:r>
      <w:r w:rsidRPr="001243D8">
        <w:rPr>
          <w:rFonts w:ascii="Cambria Math" w:hAnsi="Cambria Math" w:cs="Cambria Math"/>
          <w:lang w:val="en-GB"/>
        </w:rPr>
        <w:t>₄</w:t>
      </w:r>
      <w:r w:rsidRPr="001243D8">
        <w:rPr>
          <w:lang w:val="en-GB"/>
        </w:rPr>
        <w:t xml:space="preserve"> conversion emerges as a promising solution by directly valorizing CO</w:t>
      </w:r>
      <w:r w:rsidRPr="001243D8">
        <w:rPr>
          <w:rFonts w:ascii="Cambria Math" w:hAnsi="Cambria Math" w:cs="Cambria Math"/>
          <w:lang w:val="en-GB"/>
        </w:rPr>
        <w:t>₂</w:t>
      </w:r>
      <w:r w:rsidRPr="001243D8">
        <w:rPr>
          <w:lang w:val="en-GB"/>
        </w:rPr>
        <w:t xml:space="preserve"> within biogas while enabling renewable electricity storage. The results presented demonstrate that catalyst design, particularly MOF</w:t>
      </w:r>
      <w:r w:rsidRPr="001243D8">
        <w:rPr>
          <w:rFonts w:ascii="Cambria Math" w:hAnsi="Cambria Math" w:cs="Cambria Math"/>
          <w:lang w:val="en-GB"/>
        </w:rPr>
        <w:t>‑</w:t>
      </w:r>
      <w:r w:rsidRPr="001243D8">
        <w:rPr>
          <w:lang w:val="en-GB"/>
        </w:rPr>
        <w:t xml:space="preserve">based materials and optimized GDE formulations, plays a critical role in enhancing methane selectivity. Moreover, MEA reactor configurations show strong potential for scalable implementation despite remaining challenges related to stability and carbonate management. </w:t>
      </w:r>
      <w:r w:rsidR="00E914B2" w:rsidRPr="00E914B2">
        <w:rPr>
          <w:lang w:val="en-GB"/>
        </w:rPr>
        <w:t>In summary, the project</w:t>
      </w:r>
      <w:r w:rsidR="00E914B2">
        <w:rPr>
          <w:lang w:val="en-GB"/>
        </w:rPr>
        <w:t xml:space="preserve"> ELECTROMET</w:t>
      </w:r>
      <w:r w:rsidR="00E914B2" w:rsidRPr="00E914B2">
        <w:rPr>
          <w:lang w:val="en-GB"/>
        </w:rPr>
        <w:t xml:space="preserve"> advances from catalyst screening to the design and lab-scale validation of a 100 cm² electrolyzer optimized for efficient CO</w:t>
      </w:r>
      <w:r w:rsidR="00E914B2" w:rsidRPr="00E914B2">
        <w:rPr>
          <w:rFonts w:ascii="Cambria Math" w:hAnsi="Cambria Math" w:cs="Cambria Math"/>
          <w:lang w:val="en-GB"/>
        </w:rPr>
        <w:t>₂</w:t>
      </w:r>
      <w:r w:rsidR="00E914B2" w:rsidRPr="00E914B2">
        <w:rPr>
          <w:lang w:val="en-GB"/>
        </w:rPr>
        <w:t xml:space="preserve"> distribution and conversion. Key challenges include managing contaminants, optimizing gas flow, and ensuring methane purity. Future work will focus on integrating the system into a pilot plant with appropriate pre-treatment stages. Additionally, a digital twin will support performance prediction under variable biogas compositions.</w:t>
      </w:r>
    </w:p>
    <w:p w14:paraId="52646C35" w14:textId="64C5AFED" w:rsidR="00EC4B29" w:rsidRPr="00EC4B29" w:rsidRDefault="00EC4B29" w:rsidP="00EC4B29">
      <w:pPr>
        <w:pStyle w:val="CETHeading1"/>
        <w:numPr>
          <w:ilvl w:val="0"/>
          <w:numId w:val="0"/>
        </w:numPr>
        <w:rPr>
          <w:lang w:val="en-GB"/>
        </w:rPr>
      </w:pPr>
      <w:bookmarkStart w:id="1" w:name="_Hlk228356368"/>
      <w:r>
        <w:rPr>
          <w:lang w:val="en-GB"/>
        </w:rPr>
        <w:t>Acknowledgments</w:t>
      </w:r>
    </w:p>
    <w:p w14:paraId="4E75134A" w14:textId="03C396B1" w:rsidR="001243D8" w:rsidRPr="006E4D34" w:rsidRDefault="00EC4B29" w:rsidP="00AB5A95">
      <w:pPr>
        <w:pStyle w:val="CETBodytext"/>
        <w:spacing w:before="120" w:after="120"/>
        <w:rPr>
          <w:lang w:val="en-GB"/>
        </w:rPr>
      </w:pPr>
      <w:r w:rsidRPr="00EC4B29">
        <w:rPr>
          <w:lang w:val="en-GB"/>
        </w:rPr>
        <w:t>This research was funded by CETPartnership, under the 2023 joint call for research proposals (CETP-FP-2023-00378), co-funded by the European Commission (GA N°101069750) and with the funding provided by the Spanish Research Agency through project PCI2024-155027-2, funded by MICIU/AEI/10.13039/501100011033</w:t>
      </w:r>
      <w:r w:rsidR="00E5714D">
        <w:rPr>
          <w:lang w:val="en-GB"/>
        </w:rPr>
        <w:t>, and SODERCAN</w:t>
      </w:r>
      <w:r w:rsidRPr="00EC4B29">
        <w:rPr>
          <w:lang w:val="en-GB"/>
        </w:rPr>
        <w:t xml:space="preserve">. </w:t>
      </w:r>
      <w:r w:rsidR="00CC4A81" w:rsidRPr="00CC4A81">
        <w:rPr>
          <w:lang w:val="en-GB"/>
        </w:rPr>
        <w:t>This work was supported by: ELECTROMET, com a referência CETP/0005/2023, financiado pela Fundação para a Ciência e a Tecnologia, I.P., através de fundos nacionais, no âmbito da Parceria Europeia Clean Energy Transition Partnership (CETP); national funds through FCT/MECI: LEPABE, UID/00511/2025 (https://doi.org/10.54499/UID/00511/2025) and UID/PRR/00511/2025 (https://doi.org/10.54499/UID/PRR/00511/2025) and ALiCE, LA/P/0045/2020 (https://doi.org/10.54499/LA/P/0045/2020). G</w:t>
      </w:r>
      <w:r w:rsidR="00E516D3">
        <w:rPr>
          <w:lang w:val="en-GB"/>
        </w:rPr>
        <w:t>.</w:t>
      </w:r>
      <w:r w:rsidR="00CC4A81" w:rsidRPr="00CC4A81">
        <w:rPr>
          <w:lang w:val="en-GB"/>
        </w:rPr>
        <w:t xml:space="preserve"> Silva is grateful to FCT for the doctoral grant (reference 2024.00344.BDANA). C</w:t>
      </w:r>
      <w:r w:rsidR="00E516D3">
        <w:rPr>
          <w:lang w:val="en-GB"/>
        </w:rPr>
        <w:t>.</w:t>
      </w:r>
      <w:r w:rsidR="00CC4A81" w:rsidRPr="00CC4A81">
        <w:rPr>
          <w:lang w:val="en-GB"/>
        </w:rPr>
        <w:t xml:space="preserve"> Azenha acknowledges the FCT for her financial support (https://doi.org/10.54499/2023.07403.CEECIND/CP2834/CT0011). </w:t>
      </w:r>
      <w:r w:rsidRPr="00EC4B29">
        <w:rPr>
          <w:lang w:val="en-GB"/>
        </w:rPr>
        <w:t>J</w:t>
      </w:r>
      <w:r w:rsidR="00E516D3">
        <w:rPr>
          <w:lang w:val="en-GB"/>
        </w:rPr>
        <w:t>.</w:t>
      </w:r>
      <w:r w:rsidRPr="00EC4B29">
        <w:rPr>
          <w:lang w:val="en-GB"/>
        </w:rPr>
        <w:t xml:space="preserve"> A</w:t>
      </w:r>
      <w:r w:rsidR="00E516D3">
        <w:rPr>
          <w:lang w:val="en-GB"/>
        </w:rPr>
        <w:t>.</w:t>
      </w:r>
      <w:r w:rsidRPr="00EC4B29">
        <w:rPr>
          <w:lang w:val="en-GB"/>
        </w:rPr>
        <w:t xml:space="preserve"> Abarca gratefully acknowledges the predoctoral research grant (FPI) PRE2021-097200</w:t>
      </w:r>
    </w:p>
    <w:bookmarkEnd w:id="1"/>
    <w:p w14:paraId="4E0AE110" w14:textId="6C74845D" w:rsidR="00EC4B29" w:rsidRPr="00EC4B29" w:rsidRDefault="00EC4B29" w:rsidP="00EC4B29">
      <w:pPr>
        <w:pStyle w:val="CETHeading1"/>
        <w:numPr>
          <w:ilvl w:val="0"/>
          <w:numId w:val="0"/>
        </w:numPr>
        <w:rPr>
          <w:lang w:val="en-GB"/>
        </w:rPr>
      </w:pPr>
      <w:r>
        <w:rPr>
          <w:lang w:val="en-GB"/>
        </w:rPr>
        <w:t>References</w:t>
      </w:r>
    </w:p>
    <w:p w14:paraId="581C4592" w14:textId="77777777" w:rsidR="00E01B1F" w:rsidRPr="00E01B1F" w:rsidRDefault="00E01B1F" w:rsidP="00E01B1F">
      <w:pPr>
        <w:pStyle w:val="CETBodytext"/>
        <w:ind w:left="284" w:hanging="284"/>
        <w:rPr>
          <w:rFonts w:cs="Arial"/>
          <w:szCs w:val="18"/>
        </w:rPr>
      </w:pPr>
      <w:r w:rsidRPr="00E01B1F">
        <w:rPr>
          <w:rFonts w:cs="Arial"/>
          <w:szCs w:val="18"/>
        </w:rPr>
        <w:t>Abarca J.A., González</w:t>
      </w:r>
      <w:r w:rsidRPr="00E01B1F">
        <w:rPr>
          <w:rFonts w:ascii="Cambria Math" w:hAnsi="Cambria Math" w:cs="Cambria Math"/>
          <w:szCs w:val="18"/>
        </w:rPr>
        <w:t>‑</w:t>
      </w:r>
      <w:r w:rsidRPr="00E01B1F">
        <w:rPr>
          <w:rFonts w:cs="Arial"/>
          <w:szCs w:val="18"/>
        </w:rPr>
        <w:t>Fernández C., Peralta C.E., Arruti A., Santos E., Díaz</w:t>
      </w:r>
      <w:r w:rsidRPr="00E01B1F">
        <w:rPr>
          <w:rFonts w:ascii="Cambria Math" w:hAnsi="Cambria Math" w:cs="Cambria Math"/>
          <w:szCs w:val="18"/>
        </w:rPr>
        <w:t>‑</w:t>
      </w:r>
      <w:r w:rsidRPr="00E01B1F">
        <w:rPr>
          <w:rFonts w:cs="Arial"/>
          <w:szCs w:val="18"/>
        </w:rPr>
        <w:t>Sainz G., Irabien A., 2025, Prototype Validation of a Large</w:t>
      </w:r>
      <w:r w:rsidRPr="00E01B1F">
        <w:rPr>
          <w:rFonts w:ascii="Cambria Math" w:hAnsi="Cambria Math" w:cs="Cambria Math"/>
          <w:szCs w:val="18"/>
        </w:rPr>
        <w:t>‑</w:t>
      </w:r>
      <w:r w:rsidRPr="00E01B1F">
        <w:rPr>
          <w:rFonts w:cs="Arial"/>
          <w:szCs w:val="18"/>
        </w:rPr>
        <w:t>Scale CO</w:t>
      </w:r>
      <w:r w:rsidRPr="00E01B1F">
        <w:rPr>
          <w:rFonts w:ascii="Cambria Math" w:hAnsi="Cambria Math" w:cs="Cambria Math"/>
          <w:szCs w:val="18"/>
        </w:rPr>
        <w:t>₂‑</w:t>
      </w:r>
      <w:r w:rsidRPr="00E01B1F">
        <w:rPr>
          <w:rFonts w:cs="Arial"/>
          <w:szCs w:val="18"/>
        </w:rPr>
        <w:t>to</w:t>
      </w:r>
      <w:r w:rsidRPr="00E01B1F">
        <w:rPr>
          <w:rFonts w:ascii="Cambria Math" w:hAnsi="Cambria Math" w:cs="Cambria Math"/>
          <w:szCs w:val="18"/>
        </w:rPr>
        <w:t>‑</w:t>
      </w:r>
      <w:r w:rsidRPr="00E01B1F">
        <w:rPr>
          <w:rFonts w:cs="Arial"/>
          <w:szCs w:val="18"/>
        </w:rPr>
        <w:t>Formate Zero</w:t>
      </w:r>
      <w:r w:rsidRPr="00E01B1F">
        <w:rPr>
          <w:rFonts w:ascii="Cambria Math" w:hAnsi="Cambria Math" w:cs="Cambria Math"/>
          <w:szCs w:val="18"/>
        </w:rPr>
        <w:t>‑</w:t>
      </w:r>
      <w:r w:rsidRPr="00E01B1F">
        <w:rPr>
          <w:rFonts w:cs="Arial"/>
          <w:szCs w:val="18"/>
        </w:rPr>
        <w:t>Gap Electrolyzer, ChemSusChem, 18 (18), e202501116.</w:t>
      </w:r>
    </w:p>
    <w:p w14:paraId="4FA5DE76" w14:textId="77777777" w:rsidR="00E01B1F" w:rsidRPr="00E01B1F" w:rsidRDefault="00E01B1F" w:rsidP="00E01B1F">
      <w:pPr>
        <w:pStyle w:val="CETBodytext"/>
        <w:ind w:left="284" w:hanging="284"/>
        <w:rPr>
          <w:rFonts w:cs="Arial"/>
          <w:szCs w:val="18"/>
        </w:rPr>
      </w:pPr>
      <w:r w:rsidRPr="00E01B1F">
        <w:rPr>
          <w:rFonts w:cs="Arial"/>
          <w:szCs w:val="18"/>
        </w:rPr>
        <w:t>Angelidaki I., Treu L., Tsapekos P., Luo G., Campanaro S., Wenzel H., Kougias P.G., 2018, Biogas upgrading and utilization: Current status and perspectives, Biotechnology Advances, 36 (2), 452–466.</w:t>
      </w:r>
    </w:p>
    <w:p w14:paraId="29542857" w14:textId="77777777" w:rsidR="00E01B1F" w:rsidRPr="00E01B1F" w:rsidRDefault="00E01B1F" w:rsidP="00E01B1F">
      <w:pPr>
        <w:pStyle w:val="CETBodytext"/>
        <w:ind w:left="284" w:hanging="284"/>
        <w:rPr>
          <w:rFonts w:cs="Arial"/>
          <w:szCs w:val="18"/>
        </w:rPr>
      </w:pPr>
      <w:r w:rsidRPr="00E01B1F">
        <w:rPr>
          <w:rFonts w:cs="Arial"/>
          <w:szCs w:val="18"/>
        </w:rPr>
        <w:t>Biswas R., Ahmadi V., Ummethala R., Mozumder M.S.I., Aryal N., 2025, Recent advances in electrochemical carbon dioxide reduction strategies in biogas upgrading and biomethane production, Chemical Engineering Journal Advances, 22, 100722.</w:t>
      </w:r>
    </w:p>
    <w:p w14:paraId="1C9C526C" w14:textId="77777777" w:rsidR="00E01B1F" w:rsidRPr="00E01B1F" w:rsidRDefault="00E01B1F" w:rsidP="00E01B1F">
      <w:pPr>
        <w:pStyle w:val="CETBodytext"/>
        <w:ind w:left="284" w:hanging="284"/>
        <w:rPr>
          <w:rFonts w:cs="Arial"/>
          <w:szCs w:val="18"/>
        </w:rPr>
      </w:pPr>
      <w:r w:rsidRPr="00E01B1F">
        <w:rPr>
          <w:rFonts w:cs="Arial"/>
          <w:szCs w:val="18"/>
        </w:rPr>
        <w:t>Gao H., Yang T., Nie W., Gao Y., Wang Z., Dong A., 2025, Catalytic performance of advanced materials for CO</w:t>
      </w:r>
      <w:r w:rsidRPr="00E01B1F">
        <w:rPr>
          <w:rFonts w:ascii="Cambria Math" w:hAnsi="Cambria Math" w:cs="Cambria Math"/>
          <w:szCs w:val="18"/>
        </w:rPr>
        <w:t>₂</w:t>
      </w:r>
      <w:r w:rsidRPr="00E01B1F">
        <w:rPr>
          <w:rFonts w:cs="Arial"/>
          <w:szCs w:val="18"/>
        </w:rPr>
        <w:t xml:space="preserve"> conversion, Catalysis, 15, 328.</w:t>
      </w:r>
    </w:p>
    <w:p w14:paraId="3412B148" w14:textId="77777777" w:rsidR="00E01B1F" w:rsidRPr="00E01B1F" w:rsidRDefault="00E01B1F" w:rsidP="00E01B1F">
      <w:pPr>
        <w:pStyle w:val="CETBodytext"/>
        <w:ind w:left="284" w:hanging="284"/>
        <w:rPr>
          <w:rFonts w:cs="Arial"/>
          <w:szCs w:val="18"/>
        </w:rPr>
      </w:pPr>
      <w:r w:rsidRPr="00E01B1F">
        <w:rPr>
          <w:rFonts w:cs="Arial"/>
          <w:szCs w:val="18"/>
        </w:rPr>
        <w:t>Kapoor R., Ghosh P., Kumar M., 2019, Evaluation of biogas upgrading technologies and future perspectives: a review, Environmental Science and Pollution Research, 26, 11631–11661.</w:t>
      </w:r>
    </w:p>
    <w:p w14:paraId="4C27EBE6" w14:textId="77777777" w:rsidR="00E01B1F" w:rsidRPr="00E01B1F" w:rsidRDefault="00E01B1F" w:rsidP="00E01B1F">
      <w:pPr>
        <w:pStyle w:val="CETBodytext"/>
        <w:ind w:left="284" w:hanging="284"/>
        <w:rPr>
          <w:rFonts w:cs="Arial"/>
          <w:szCs w:val="18"/>
        </w:rPr>
      </w:pPr>
      <w:r w:rsidRPr="00E01B1F">
        <w:rPr>
          <w:rFonts w:cs="Arial"/>
          <w:szCs w:val="18"/>
        </w:rPr>
        <w:t>Katz M.J., Brown Z.J., Colon Y.J., Siu P.W., Scheidt K.A., Snurr R.Q., Hupp J.T., Farha O.K., 2013, A facile synthesis of UiO</w:t>
      </w:r>
      <w:r w:rsidRPr="00E01B1F">
        <w:rPr>
          <w:rFonts w:ascii="Cambria Math" w:hAnsi="Cambria Math" w:cs="Cambria Math"/>
          <w:szCs w:val="18"/>
        </w:rPr>
        <w:t>‑</w:t>
      </w:r>
      <w:r w:rsidRPr="00E01B1F">
        <w:rPr>
          <w:rFonts w:cs="Arial"/>
          <w:szCs w:val="18"/>
        </w:rPr>
        <w:t>66, UiO</w:t>
      </w:r>
      <w:r w:rsidRPr="00E01B1F">
        <w:rPr>
          <w:rFonts w:ascii="Cambria Math" w:hAnsi="Cambria Math" w:cs="Cambria Math"/>
          <w:szCs w:val="18"/>
        </w:rPr>
        <w:t>‑</w:t>
      </w:r>
      <w:r w:rsidRPr="00E01B1F">
        <w:rPr>
          <w:rFonts w:cs="Arial"/>
          <w:szCs w:val="18"/>
        </w:rPr>
        <w:t>67 and their derivatives, Chemical Communications, 49, 9449–9451.</w:t>
      </w:r>
    </w:p>
    <w:p w14:paraId="3291C11B" w14:textId="77777777" w:rsidR="00E01B1F" w:rsidRPr="00E01B1F" w:rsidRDefault="00E01B1F" w:rsidP="00E01B1F">
      <w:pPr>
        <w:pStyle w:val="CETBodytext"/>
        <w:ind w:left="284" w:hanging="284"/>
        <w:rPr>
          <w:rFonts w:cs="Arial"/>
          <w:szCs w:val="18"/>
        </w:rPr>
      </w:pPr>
      <w:r w:rsidRPr="00E01B1F">
        <w:rPr>
          <w:rFonts w:cs="Arial"/>
          <w:szCs w:val="18"/>
        </w:rPr>
        <w:t>Makhmutov D., Rungtaweevoranit B., Ahmed A.A., Faungnawakij K., Al</w:t>
      </w:r>
      <w:r w:rsidRPr="00E01B1F">
        <w:rPr>
          <w:rFonts w:ascii="Cambria Math" w:hAnsi="Cambria Math" w:cs="Cambria Math"/>
          <w:szCs w:val="18"/>
        </w:rPr>
        <w:t>‑</w:t>
      </w:r>
      <w:r w:rsidRPr="00E01B1F">
        <w:rPr>
          <w:rFonts w:cs="Arial"/>
          <w:szCs w:val="18"/>
        </w:rPr>
        <w:t>Yusufi M., Salaya E., Wohlrab S., Armbruster U., Abdel</w:t>
      </w:r>
      <w:r w:rsidRPr="00E01B1F">
        <w:rPr>
          <w:rFonts w:ascii="Cambria Math" w:hAnsi="Cambria Math" w:cs="Cambria Math"/>
          <w:szCs w:val="18"/>
        </w:rPr>
        <w:t>‑</w:t>
      </w:r>
      <w:r w:rsidRPr="00E01B1F">
        <w:rPr>
          <w:rFonts w:cs="Arial"/>
          <w:szCs w:val="18"/>
        </w:rPr>
        <w:t>Mageed A.M., 2025, Catalytic and kinetic isotope effect studies of CO</w:t>
      </w:r>
      <w:r w:rsidRPr="00E01B1F">
        <w:rPr>
          <w:rFonts w:ascii="Cambria Math" w:hAnsi="Cambria Math" w:cs="Cambria Math"/>
          <w:szCs w:val="18"/>
        </w:rPr>
        <w:t>₂</w:t>
      </w:r>
      <w:r w:rsidRPr="00E01B1F">
        <w:rPr>
          <w:rFonts w:cs="Arial"/>
          <w:szCs w:val="18"/>
        </w:rPr>
        <w:t xml:space="preserve"> reduction on Cu</w:t>
      </w:r>
      <w:r w:rsidRPr="00E01B1F">
        <w:rPr>
          <w:rFonts w:ascii="Cambria Math" w:hAnsi="Cambria Math" w:cs="Cambria Math"/>
          <w:szCs w:val="18"/>
        </w:rPr>
        <w:t>‑</w:t>
      </w:r>
      <w:r w:rsidRPr="00E01B1F">
        <w:rPr>
          <w:rFonts w:cs="Arial"/>
          <w:szCs w:val="18"/>
        </w:rPr>
        <w:t>metalated UiO</w:t>
      </w:r>
      <w:r w:rsidRPr="00E01B1F">
        <w:rPr>
          <w:rFonts w:ascii="Cambria Math" w:hAnsi="Cambria Math" w:cs="Cambria Math"/>
          <w:szCs w:val="18"/>
        </w:rPr>
        <w:t>‑</w:t>
      </w:r>
      <w:r w:rsidRPr="00E01B1F">
        <w:rPr>
          <w:rFonts w:cs="Arial"/>
          <w:szCs w:val="18"/>
        </w:rPr>
        <w:t>66 metal</w:t>
      </w:r>
      <w:r w:rsidRPr="00E01B1F">
        <w:rPr>
          <w:rFonts w:ascii="Cambria Math" w:hAnsi="Cambria Math" w:cs="Cambria Math"/>
          <w:szCs w:val="18"/>
        </w:rPr>
        <w:t>‑</w:t>
      </w:r>
      <w:r w:rsidRPr="00E01B1F">
        <w:rPr>
          <w:rFonts w:cs="Arial"/>
          <w:szCs w:val="18"/>
        </w:rPr>
        <w:t>organic framework, Applied Surface Science, 688, 162323.</w:t>
      </w:r>
    </w:p>
    <w:p w14:paraId="1CA9E787" w14:textId="77777777" w:rsidR="00E01B1F" w:rsidRPr="00E01B1F" w:rsidRDefault="00E01B1F" w:rsidP="00E01B1F">
      <w:pPr>
        <w:pStyle w:val="CETBodytext"/>
        <w:ind w:left="284" w:hanging="284"/>
        <w:rPr>
          <w:rFonts w:cs="Arial"/>
          <w:szCs w:val="18"/>
        </w:rPr>
      </w:pPr>
      <w:r w:rsidRPr="00E01B1F">
        <w:rPr>
          <w:rFonts w:cs="Arial"/>
          <w:szCs w:val="18"/>
        </w:rPr>
        <w:t>Zhang T., Verma S., Kim S., Fister T.T., Kenis P.J.A., Gewirth A.A., 2020, Mechanistic insights into electrochemical CO</w:t>
      </w:r>
      <w:r w:rsidRPr="00E01B1F">
        <w:rPr>
          <w:rFonts w:ascii="Cambria Math" w:hAnsi="Cambria Math" w:cs="Cambria Math"/>
          <w:szCs w:val="18"/>
        </w:rPr>
        <w:t>₂</w:t>
      </w:r>
      <w:r w:rsidRPr="00E01B1F">
        <w:rPr>
          <w:rFonts w:cs="Arial"/>
          <w:szCs w:val="18"/>
        </w:rPr>
        <w:t xml:space="preserve"> reduction, Journal of Electroanalytical Chemistry, 875, 113862.</w:t>
      </w:r>
    </w:p>
    <w:p w14:paraId="47868C51" w14:textId="3D23DACB" w:rsidR="00062A8F" w:rsidRPr="00D04B34" w:rsidRDefault="00E01B1F" w:rsidP="00E01B1F">
      <w:pPr>
        <w:pStyle w:val="CETBodytext"/>
        <w:ind w:left="284" w:hanging="284"/>
        <w:rPr>
          <w:lang w:val="en-GB"/>
        </w:rPr>
      </w:pPr>
      <w:r w:rsidRPr="00E01B1F">
        <w:rPr>
          <w:rFonts w:cs="Arial"/>
          <w:szCs w:val="18"/>
        </w:rPr>
        <w:t>Zhu Y., Zheng J., Ye J., Cui Y., Koh K., Kovarik L., Camaioni D.M., Fulton J.L., Truhlar D.G., Neurock M., et al., 2020, Copper</w:t>
      </w:r>
      <w:r w:rsidRPr="00E01B1F">
        <w:rPr>
          <w:rFonts w:ascii="Cambria Math" w:hAnsi="Cambria Math" w:cs="Cambria Math"/>
          <w:szCs w:val="18"/>
        </w:rPr>
        <w:t>‑</w:t>
      </w:r>
      <w:r w:rsidRPr="00E01B1F">
        <w:rPr>
          <w:rFonts w:cs="Arial"/>
          <w:szCs w:val="18"/>
        </w:rPr>
        <w:t>zirconia interfaces in UiO</w:t>
      </w:r>
      <w:r w:rsidRPr="00E01B1F">
        <w:rPr>
          <w:rFonts w:ascii="Cambria Math" w:hAnsi="Cambria Math" w:cs="Cambria Math"/>
          <w:szCs w:val="18"/>
        </w:rPr>
        <w:t>‑</w:t>
      </w:r>
      <w:r w:rsidRPr="00E01B1F">
        <w:rPr>
          <w:rFonts w:cs="Arial"/>
          <w:szCs w:val="18"/>
        </w:rPr>
        <w:t>66 enable selective catalytic hydrogenation of CO</w:t>
      </w:r>
      <w:r w:rsidRPr="00E01B1F">
        <w:rPr>
          <w:rFonts w:ascii="Cambria Math" w:hAnsi="Cambria Math" w:cs="Cambria Math"/>
          <w:szCs w:val="18"/>
        </w:rPr>
        <w:t>₂</w:t>
      </w:r>
      <w:r w:rsidRPr="00E01B1F">
        <w:rPr>
          <w:rFonts w:cs="Arial"/>
          <w:szCs w:val="18"/>
        </w:rPr>
        <w:t xml:space="preserve"> to methanol, Nature Communications, 11, 5849.</w:t>
      </w:r>
    </w:p>
    <w:sectPr w:rsidR="00062A8F" w:rsidRPr="00D04B34"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DD9B6" w14:textId="77777777" w:rsidR="00CF61C4" w:rsidRDefault="00CF61C4" w:rsidP="004F5E36">
      <w:r>
        <w:separator/>
      </w:r>
    </w:p>
  </w:endnote>
  <w:endnote w:type="continuationSeparator" w:id="0">
    <w:p w14:paraId="56786C15" w14:textId="77777777" w:rsidR="00CF61C4" w:rsidRDefault="00CF61C4"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F22E6" w14:textId="77777777" w:rsidR="00CF61C4" w:rsidRDefault="00CF61C4" w:rsidP="004F5E36">
      <w:r>
        <w:separator/>
      </w:r>
    </w:p>
  </w:footnote>
  <w:footnote w:type="continuationSeparator" w:id="0">
    <w:p w14:paraId="7F1272D8" w14:textId="77777777" w:rsidR="00CF61C4" w:rsidRDefault="00CF61C4"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8AF15E"/>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pStyle w:val="Tablabsica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49A2"/>
    <w:rsid w:val="000173F9"/>
    <w:rsid w:val="000266EF"/>
    <w:rsid w:val="00027D0E"/>
    <w:rsid w:val="0003148D"/>
    <w:rsid w:val="00031EEC"/>
    <w:rsid w:val="00051566"/>
    <w:rsid w:val="000562A9"/>
    <w:rsid w:val="00062A8F"/>
    <w:rsid w:val="00062A9A"/>
    <w:rsid w:val="00063EBF"/>
    <w:rsid w:val="00065058"/>
    <w:rsid w:val="00073A0F"/>
    <w:rsid w:val="00086C39"/>
    <w:rsid w:val="00096E72"/>
    <w:rsid w:val="000A03B2"/>
    <w:rsid w:val="000A1E96"/>
    <w:rsid w:val="000C124C"/>
    <w:rsid w:val="000C5DA9"/>
    <w:rsid w:val="000D0268"/>
    <w:rsid w:val="000D34BE"/>
    <w:rsid w:val="000E102F"/>
    <w:rsid w:val="000E36F1"/>
    <w:rsid w:val="000E3A73"/>
    <w:rsid w:val="000E414A"/>
    <w:rsid w:val="000E75FD"/>
    <w:rsid w:val="000F093C"/>
    <w:rsid w:val="000F787B"/>
    <w:rsid w:val="000F7BC1"/>
    <w:rsid w:val="00101F02"/>
    <w:rsid w:val="00116DF0"/>
    <w:rsid w:val="0012091F"/>
    <w:rsid w:val="001243D8"/>
    <w:rsid w:val="00124AAD"/>
    <w:rsid w:val="00126BC2"/>
    <w:rsid w:val="001308B6"/>
    <w:rsid w:val="0013121F"/>
    <w:rsid w:val="00131FE6"/>
    <w:rsid w:val="0013263F"/>
    <w:rsid w:val="001331DF"/>
    <w:rsid w:val="00134DE4"/>
    <w:rsid w:val="001352AA"/>
    <w:rsid w:val="0014034D"/>
    <w:rsid w:val="00140FE3"/>
    <w:rsid w:val="00144D16"/>
    <w:rsid w:val="00150E59"/>
    <w:rsid w:val="00152DE3"/>
    <w:rsid w:val="00161709"/>
    <w:rsid w:val="00164CF9"/>
    <w:rsid w:val="001667A6"/>
    <w:rsid w:val="00174A24"/>
    <w:rsid w:val="0017554C"/>
    <w:rsid w:val="00184AD6"/>
    <w:rsid w:val="001A4AF7"/>
    <w:rsid w:val="001B0349"/>
    <w:rsid w:val="001B1E93"/>
    <w:rsid w:val="001B65C1"/>
    <w:rsid w:val="001C260F"/>
    <w:rsid w:val="001C33F1"/>
    <w:rsid w:val="001C684B"/>
    <w:rsid w:val="001D0CFB"/>
    <w:rsid w:val="001D21AF"/>
    <w:rsid w:val="001D53FC"/>
    <w:rsid w:val="001D62CF"/>
    <w:rsid w:val="001F42A5"/>
    <w:rsid w:val="001F7B9D"/>
    <w:rsid w:val="00201437"/>
    <w:rsid w:val="00201C93"/>
    <w:rsid w:val="002224B4"/>
    <w:rsid w:val="0024129E"/>
    <w:rsid w:val="002447EF"/>
    <w:rsid w:val="00251550"/>
    <w:rsid w:val="00263B05"/>
    <w:rsid w:val="0027221A"/>
    <w:rsid w:val="00274754"/>
    <w:rsid w:val="00275B61"/>
    <w:rsid w:val="00280FAF"/>
    <w:rsid w:val="00282656"/>
    <w:rsid w:val="00296B83"/>
    <w:rsid w:val="002B4015"/>
    <w:rsid w:val="002B44C1"/>
    <w:rsid w:val="002B78CE"/>
    <w:rsid w:val="002C1D11"/>
    <w:rsid w:val="002C2FB6"/>
    <w:rsid w:val="002C5012"/>
    <w:rsid w:val="002D5F58"/>
    <w:rsid w:val="002E5FA7"/>
    <w:rsid w:val="002F2AFE"/>
    <w:rsid w:val="002F3309"/>
    <w:rsid w:val="003008CE"/>
    <w:rsid w:val="003009B7"/>
    <w:rsid w:val="00300E56"/>
    <w:rsid w:val="0030152C"/>
    <w:rsid w:val="0030469C"/>
    <w:rsid w:val="00321CA6"/>
    <w:rsid w:val="00323763"/>
    <w:rsid w:val="00323C5F"/>
    <w:rsid w:val="00334C09"/>
    <w:rsid w:val="00343A16"/>
    <w:rsid w:val="00343DF9"/>
    <w:rsid w:val="003509F0"/>
    <w:rsid w:val="003515FB"/>
    <w:rsid w:val="003723D4"/>
    <w:rsid w:val="00381905"/>
    <w:rsid w:val="00384CC8"/>
    <w:rsid w:val="003871FD"/>
    <w:rsid w:val="003A1E30"/>
    <w:rsid w:val="003A2829"/>
    <w:rsid w:val="003A552C"/>
    <w:rsid w:val="003A7D1C"/>
    <w:rsid w:val="003B304B"/>
    <w:rsid w:val="003B3146"/>
    <w:rsid w:val="003B6AE9"/>
    <w:rsid w:val="003C71FC"/>
    <w:rsid w:val="003D1D8F"/>
    <w:rsid w:val="003D1E02"/>
    <w:rsid w:val="003D59B5"/>
    <w:rsid w:val="003F015E"/>
    <w:rsid w:val="003F2EF5"/>
    <w:rsid w:val="00400414"/>
    <w:rsid w:val="0041446B"/>
    <w:rsid w:val="0044071E"/>
    <w:rsid w:val="0044329C"/>
    <w:rsid w:val="00453E24"/>
    <w:rsid w:val="00457456"/>
    <w:rsid w:val="004577FE"/>
    <w:rsid w:val="00457B9C"/>
    <w:rsid w:val="0046164A"/>
    <w:rsid w:val="004628D2"/>
    <w:rsid w:val="00462DCD"/>
    <w:rsid w:val="004648AD"/>
    <w:rsid w:val="004703A9"/>
    <w:rsid w:val="00470F04"/>
    <w:rsid w:val="004760DE"/>
    <w:rsid w:val="004763D7"/>
    <w:rsid w:val="004923BA"/>
    <w:rsid w:val="004A004E"/>
    <w:rsid w:val="004A24CF"/>
    <w:rsid w:val="004A5E57"/>
    <w:rsid w:val="004C194F"/>
    <w:rsid w:val="004C3D1D"/>
    <w:rsid w:val="004C3D84"/>
    <w:rsid w:val="004C7913"/>
    <w:rsid w:val="004D311E"/>
    <w:rsid w:val="004E4DD6"/>
    <w:rsid w:val="004F5E36"/>
    <w:rsid w:val="004F717C"/>
    <w:rsid w:val="00507B47"/>
    <w:rsid w:val="00507BEF"/>
    <w:rsid w:val="00507CC9"/>
    <w:rsid w:val="005119A5"/>
    <w:rsid w:val="00516D8E"/>
    <w:rsid w:val="00522923"/>
    <w:rsid w:val="005278B7"/>
    <w:rsid w:val="00532016"/>
    <w:rsid w:val="00534415"/>
    <w:rsid w:val="005346C8"/>
    <w:rsid w:val="00543E7D"/>
    <w:rsid w:val="00547A68"/>
    <w:rsid w:val="00551A9C"/>
    <w:rsid w:val="005531C9"/>
    <w:rsid w:val="00570C43"/>
    <w:rsid w:val="00592274"/>
    <w:rsid w:val="005B2110"/>
    <w:rsid w:val="005B3458"/>
    <w:rsid w:val="005B61E6"/>
    <w:rsid w:val="005B6EEE"/>
    <w:rsid w:val="005C77E1"/>
    <w:rsid w:val="005D1CBF"/>
    <w:rsid w:val="005D668A"/>
    <w:rsid w:val="005D6A2F"/>
    <w:rsid w:val="005E0592"/>
    <w:rsid w:val="005E1A82"/>
    <w:rsid w:val="005E794C"/>
    <w:rsid w:val="005F0A28"/>
    <w:rsid w:val="005F0E5E"/>
    <w:rsid w:val="00600535"/>
    <w:rsid w:val="0060667D"/>
    <w:rsid w:val="00610CD6"/>
    <w:rsid w:val="006164C5"/>
    <w:rsid w:val="00620DEE"/>
    <w:rsid w:val="00621F92"/>
    <w:rsid w:val="0062280A"/>
    <w:rsid w:val="006231E1"/>
    <w:rsid w:val="00625639"/>
    <w:rsid w:val="00631B33"/>
    <w:rsid w:val="00633E0A"/>
    <w:rsid w:val="0064184D"/>
    <w:rsid w:val="006422CC"/>
    <w:rsid w:val="006448BE"/>
    <w:rsid w:val="006454C5"/>
    <w:rsid w:val="00651D18"/>
    <w:rsid w:val="006558A6"/>
    <w:rsid w:val="00660E3E"/>
    <w:rsid w:val="00662E74"/>
    <w:rsid w:val="00664F9F"/>
    <w:rsid w:val="006667F7"/>
    <w:rsid w:val="00680C23"/>
    <w:rsid w:val="00683E23"/>
    <w:rsid w:val="00686254"/>
    <w:rsid w:val="00693766"/>
    <w:rsid w:val="006A3281"/>
    <w:rsid w:val="006B398D"/>
    <w:rsid w:val="006B4888"/>
    <w:rsid w:val="006B625B"/>
    <w:rsid w:val="006C2E45"/>
    <w:rsid w:val="006C359C"/>
    <w:rsid w:val="006C5579"/>
    <w:rsid w:val="006D6E8B"/>
    <w:rsid w:val="006D7209"/>
    <w:rsid w:val="006D7980"/>
    <w:rsid w:val="006E4D34"/>
    <w:rsid w:val="006E737D"/>
    <w:rsid w:val="006F0D60"/>
    <w:rsid w:val="00707DD1"/>
    <w:rsid w:val="00713973"/>
    <w:rsid w:val="00714A96"/>
    <w:rsid w:val="007203F2"/>
    <w:rsid w:val="00720A24"/>
    <w:rsid w:val="00732386"/>
    <w:rsid w:val="0073514D"/>
    <w:rsid w:val="007447F3"/>
    <w:rsid w:val="00750681"/>
    <w:rsid w:val="0075499F"/>
    <w:rsid w:val="007565FD"/>
    <w:rsid w:val="007617CC"/>
    <w:rsid w:val="00764100"/>
    <w:rsid w:val="00765DF0"/>
    <w:rsid w:val="007661C8"/>
    <w:rsid w:val="00766CDB"/>
    <w:rsid w:val="0077098D"/>
    <w:rsid w:val="00773D1D"/>
    <w:rsid w:val="00785BF9"/>
    <w:rsid w:val="007931FA"/>
    <w:rsid w:val="007A4861"/>
    <w:rsid w:val="007A7BBA"/>
    <w:rsid w:val="007B0C50"/>
    <w:rsid w:val="007B48F9"/>
    <w:rsid w:val="007C1A43"/>
    <w:rsid w:val="007D0951"/>
    <w:rsid w:val="007F1486"/>
    <w:rsid w:val="007F27C8"/>
    <w:rsid w:val="0080013E"/>
    <w:rsid w:val="00800608"/>
    <w:rsid w:val="008040F4"/>
    <w:rsid w:val="00813156"/>
    <w:rsid w:val="00813288"/>
    <w:rsid w:val="00815AA4"/>
    <w:rsid w:val="008168FC"/>
    <w:rsid w:val="00825C76"/>
    <w:rsid w:val="00830996"/>
    <w:rsid w:val="008314D7"/>
    <w:rsid w:val="008345F1"/>
    <w:rsid w:val="00843A64"/>
    <w:rsid w:val="00865B07"/>
    <w:rsid w:val="008667EA"/>
    <w:rsid w:val="0087637F"/>
    <w:rsid w:val="00892AD5"/>
    <w:rsid w:val="008A1512"/>
    <w:rsid w:val="008A438B"/>
    <w:rsid w:val="008A7C84"/>
    <w:rsid w:val="008B1F82"/>
    <w:rsid w:val="008B4AE4"/>
    <w:rsid w:val="008C670B"/>
    <w:rsid w:val="008D267D"/>
    <w:rsid w:val="008D32B9"/>
    <w:rsid w:val="008D3F8D"/>
    <w:rsid w:val="008D433B"/>
    <w:rsid w:val="008D4A16"/>
    <w:rsid w:val="008E209A"/>
    <w:rsid w:val="008E45BC"/>
    <w:rsid w:val="008E566E"/>
    <w:rsid w:val="008F1B3D"/>
    <w:rsid w:val="008F45BF"/>
    <w:rsid w:val="009010CF"/>
    <w:rsid w:val="0090161A"/>
    <w:rsid w:val="00901EB6"/>
    <w:rsid w:val="009041F8"/>
    <w:rsid w:val="00904C62"/>
    <w:rsid w:val="00917F97"/>
    <w:rsid w:val="00922BA8"/>
    <w:rsid w:val="00924DAC"/>
    <w:rsid w:val="00927058"/>
    <w:rsid w:val="00942750"/>
    <w:rsid w:val="009450CE"/>
    <w:rsid w:val="009459BB"/>
    <w:rsid w:val="00947179"/>
    <w:rsid w:val="0095114D"/>
    <w:rsid w:val="0095164B"/>
    <w:rsid w:val="00954090"/>
    <w:rsid w:val="009573E7"/>
    <w:rsid w:val="00963E05"/>
    <w:rsid w:val="00964A45"/>
    <w:rsid w:val="00967843"/>
    <w:rsid w:val="00967D54"/>
    <w:rsid w:val="00971028"/>
    <w:rsid w:val="00993B84"/>
    <w:rsid w:val="00996483"/>
    <w:rsid w:val="00996F5A"/>
    <w:rsid w:val="009B041A"/>
    <w:rsid w:val="009C33D0"/>
    <w:rsid w:val="009C37C3"/>
    <w:rsid w:val="009C7C86"/>
    <w:rsid w:val="009D2FF7"/>
    <w:rsid w:val="009E7884"/>
    <w:rsid w:val="009E788A"/>
    <w:rsid w:val="009F0E08"/>
    <w:rsid w:val="00A037BD"/>
    <w:rsid w:val="00A079AE"/>
    <w:rsid w:val="00A1763D"/>
    <w:rsid w:val="00A17CEC"/>
    <w:rsid w:val="00A26CBB"/>
    <w:rsid w:val="00A27EF0"/>
    <w:rsid w:val="00A32B93"/>
    <w:rsid w:val="00A42361"/>
    <w:rsid w:val="00A50B20"/>
    <w:rsid w:val="00A51390"/>
    <w:rsid w:val="00A55F26"/>
    <w:rsid w:val="00A60D13"/>
    <w:rsid w:val="00A7223D"/>
    <w:rsid w:val="00A72745"/>
    <w:rsid w:val="00A76EFC"/>
    <w:rsid w:val="00A87D50"/>
    <w:rsid w:val="00A9042D"/>
    <w:rsid w:val="00A91010"/>
    <w:rsid w:val="00A97F29"/>
    <w:rsid w:val="00AA702E"/>
    <w:rsid w:val="00AA7D26"/>
    <w:rsid w:val="00AB0964"/>
    <w:rsid w:val="00AB1493"/>
    <w:rsid w:val="00AB4014"/>
    <w:rsid w:val="00AB5011"/>
    <w:rsid w:val="00AB5A95"/>
    <w:rsid w:val="00AC7368"/>
    <w:rsid w:val="00AD0278"/>
    <w:rsid w:val="00AD16B9"/>
    <w:rsid w:val="00AD411A"/>
    <w:rsid w:val="00AE377D"/>
    <w:rsid w:val="00AF0EBA"/>
    <w:rsid w:val="00B01663"/>
    <w:rsid w:val="00B02C8A"/>
    <w:rsid w:val="00B0421C"/>
    <w:rsid w:val="00B116B9"/>
    <w:rsid w:val="00B14A8C"/>
    <w:rsid w:val="00B17FBD"/>
    <w:rsid w:val="00B315A6"/>
    <w:rsid w:val="00B3170D"/>
    <w:rsid w:val="00B31813"/>
    <w:rsid w:val="00B33365"/>
    <w:rsid w:val="00B40967"/>
    <w:rsid w:val="00B44D45"/>
    <w:rsid w:val="00B4706C"/>
    <w:rsid w:val="00B522A5"/>
    <w:rsid w:val="00B57B36"/>
    <w:rsid w:val="00B57E6F"/>
    <w:rsid w:val="00B665A6"/>
    <w:rsid w:val="00B70F27"/>
    <w:rsid w:val="00B71F78"/>
    <w:rsid w:val="00B774A2"/>
    <w:rsid w:val="00B8686D"/>
    <w:rsid w:val="00B93F69"/>
    <w:rsid w:val="00B96021"/>
    <w:rsid w:val="00BB1DDC"/>
    <w:rsid w:val="00BB7B15"/>
    <w:rsid w:val="00BC30C9"/>
    <w:rsid w:val="00BC4AA8"/>
    <w:rsid w:val="00BD077D"/>
    <w:rsid w:val="00BD2578"/>
    <w:rsid w:val="00BE3E58"/>
    <w:rsid w:val="00BF4F53"/>
    <w:rsid w:val="00BF52BD"/>
    <w:rsid w:val="00C0012F"/>
    <w:rsid w:val="00C01616"/>
    <w:rsid w:val="00C0162B"/>
    <w:rsid w:val="00C068ED"/>
    <w:rsid w:val="00C12AD1"/>
    <w:rsid w:val="00C208E9"/>
    <w:rsid w:val="00C22E0C"/>
    <w:rsid w:val="00C339E7"/>
    <w:rsid w:val="00C345B1"/>
    <w:rsid w:val="00C40142"/>
    <w:rsid w:val="00C44345"/>
    <w:rsid w:val="00C4527A"/>
    <w:rsid w:val="00C52C3C"/>
    <w:rsid w:val="00C559A5"/>
    <w:rsid w:val="00C56E59"/>
    <w:rsid w:val="00C57182"/>
    <w:rsid w:val="00C57863"/>
    <w:rsid w:val="00C640AF"/>
    <w:rsid w:val="00C655FD"/>
    <w:rsid w:val="00C75407"/>
    <w:rsid w:val="00C83720"/>
    <w:rsid w:val="00C841C6"/>
    <w:rsid w:val="00C85A24"/>
    <w:rsid w:val="00C870A8"/>
    <w:rsid w:val="00C94434"/>
    <w:rsid w:val="00CA0D75"/>
    <w:rsid w:val="00CA1C95"/>
    <w:rsid w:val="00CA338A"/>
    <w:rsid w:val="00CA5A9C"/>
    <w:rsid w:val="00CA698D"/>
    <w:rsid w:val="00CB0FFF"/>
    <w:rsid w:val="00CB2614"/>
    <w:rsid w:val="00CC4903"/>
    <w:rsid w:val="00CC4A81"/>
    <w:rsid w:val="00CC4C20"/>
    <w:rsid w:val="00CD3517"/>
    <w:rsid w:val="00CD5014"/>
    <w:rsid w:val="00CD5FE2"/>
    <w:rsid w:val="00CE224E"/>
    <w:rsid w:val="00CE7C68"/>
    <w:rsid w:val="00CF61C4"/>
    <w:rsid w:val="00D02B4C"/>
    <w:rsid w:val="00D03792"/>
    <w:rsid w:val="00D040C4"/>
    <w:rsid w:val="00D04B34"/>
    <w:rsid w:val="00D05975"/>
    <w:rsid w:val="00D13159"/>
    <w:rsid w:val="00D20AD1"/>
    <w:rsid w:val="00D2582C"/>
    <w:rsid w:val="00D368F0"/>
    <w:rsid w:val="00D42FEF"/>
    <w:rsid w:val="00D46B7E"/>
    <w:rsid w:val="00D54769"/>
    <w:rsid w:val="00D57C84"/>
    <w:rsid w:val="00D6057D"/>
    <w:rsid w:val="00D71640"/>
    <w:rsid w:val="00D82AB6"/>
    <w:rsid w:val="00D836C5"/>
    <w:rsid w:val="00D84576"/>
    <w:rsid w:val="00DA1399"/>
    <w:rsid w:val="00DA1C03"/>
    <w:rsid w:val="00DA24C6"/>
    <w:rsid w:val="00DA4D7B"/>
    <w:rsid w:val="00DB19B9"/>
    <w:rsid w:val="00DC25F4"/>
    <w:rsid w:val="00DC285E"/>
    <w:rsid w:val="00DD271C"/>
    <w:rsid w:val="00DD3B4F"/>
    <w:rsid w:val="00DD47B0"/>
    <w:rsid w:val="00DE264A"/>
    <w:rsid w:val="00DE3C41"/>
    <w:rsid w:val="00DF0AA9"/>
    <w:rsid w:val="00DF5072"/>
    <w:rsid w:val="00E01B1F"/>
    <w:rsid w:val="00E02D18"/>
    <w:rsid w:val="00E041E7"/>
    <w:rsid w:val="00E057D8"/>
    <w:rsid w:val="00E11BC7"/>
    <w:rsid w:val="00E14053"/>
    <w:rsid w:val="00E23CA1"/>
    <w:rsid w:val="00E409A8"/>
    <w:rsid w:val="00E47D61"/>
    <w:rsid w:val="00E50C12"/>
    <w:rsid w:val="00E516D3"/>
    <w:rsid w:val="00E5714D"/>
    <w:rsid w:val="00E65B91"/>
    <w:rsid w:val="00E671D5"/>
    <w:rsid w:val="00E7209D"/>
    <w:rsid w:val="00E72EAD"/>
    <w:rsid w:val="00E76D5C"/>
    <w:rsid w:val="00E77223"/>
    <w:rsid w:val="00E8528B"/>
    <w:rsid w:val="00E85B94"/>
    <w:rsid w:val="00E914B2"/>
    <w:rsid w:val="00E978D0"/>
    <w:rsid w:val="00EA4613"/>
    <w:rsid w:val="00EA7F91"/>
    <w:rsid w:val="00EB1523"/>
    <w:rsid w:val="00EC0E49"/>
    <w:rsid w:val="00EC101F"/>
    <w:rsid w:val="00EC1D9F"/>
    <w:rsid w:val="00EC4B29"/>
    <w:rsid w:val="00EE0131"/>
    <w:rsid w:val="00EE17B0"/>
    <w:rsid w:val="00EE5257"/>
    <w:rsid w:val="00EF06D9"/>
    <w:rsid w:val="00EF0982"/>
    <w:rsid w:val="00F04A1B"/>
    <w:rsid w:val="00F05990"/>
    <w:rsid w:val="00F126A5"/>
    <w:rsid w:val="00F3049E"/>
    <w:rsid w:val="00F30C64"/>
    <w:rsid w:val="00F32BA2"/>
    <w:rsid w:val="00F32CDB"/>
    <w:rsid w:val="00F3348F"/>
    <w:rsid w:val="00F37280"/>
    <w:rsid w:val="00F41EE4"/>
    <w:rsid w:val="00F4421A"/>
    <w:rsid w:val="00F52836"/>
    <w:rsid w:val="00F565FE"/>
    <w:rsid w:val="00F56911"/>
    <w:rsid w:val="00F63A70"/>
    <w:rsid w:val="00F63D8C"/>
    <w:rsid w:val="00F7534E"/>
    <w:rsid w:val="00F85A40"/>
    <w:rsid w:val="00F93D94"/>
    <w:rsid w:val="00F93EDF"/>
    <w:rsid w:val="00FA02EB"/>
    <w:rsid w:val="00FA15B3"/>
    <w:rsid w:val="00FA1802"/>
    <w:rsid w:val="00FA21D0"/>
    <w:rsid w:val="00FA364E"/>
    <w:rsid w:val="00FA3C7F"/>
    <w:rsid w:val="00FA5F5F"/>
    <w:rsid w:val="00FA6EDC"/>
    <w:rsid w:val="00FB0984"/>
    <w:rsid w:val="00FB730C"/>
    <w:rsid w:val="00FC2695"/>
    <w:rsid w:val="00FC3E03"/>
    <w:rsid w:val="00FC3FC1"/>
    <w:rsid w:val="00FD2864"/>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Ttulo1">
    <w:name w:val="heading 1"/>
    <w:basedOn w:val="CETHeading1"/>
    <w:next w:val="Normal"/>
    <w:link w:val="Ttulo1Car"/>
    <w:uiPriority w:val="9"/>
    <w:rsid w:val="004F5E36"/>
    <w:pPr>
      <w:tabs>
        <w:tab w:val="clear" w:pos="360"/>
        <w:tab w:val="right" w:pos="7100"/>
      </w:tabs>
      <w:jc w:val="both"/>
      <w:outlineLvl w:val="0"/>
    </w:pPr>
    <w:rPr>
      <w:lang w:val="en-GB"/>
    </w:rPr>
  </w:style>
  <w:style w:type="paragraph" w:styleId="Ttulo2">
    <w:name w:val="heading 2"/>
    <w:basedOn w:val="Normal"/>
    <w:next w:val="Normal"/>
    <w:link w:val="Ttulo2C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Ttulo9">
    <w:name w:val="heading 9"/>
    <w:basedOn w:val="Normal"/>
    <w:next w:val="Normal"/>
    <w:link w:val="Ttulo9C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8F1B3D"/>
    <w:pPr>
      <w:keepNext/>
      <w:suppressAutoHyphens/>
      <w:spacing w:before="120" w:after="120" w:line="240" w:lineRule="auto"/>
      <w:jc w:val="both"/>
    </w:pPr>
    <w:rPr>
      <w:rFonts w:ascii="Arial" w:eastAsia="Times New Roman" w:hAnsi="Arial" w:cs="Times New Roman"/>
      <w:bCs/>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labsica1">
    <w:name w:val="Table Simple 1"/>
    <w:basedOn w:val="Tablanormal"/>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8F1B3D"/>
    <w:rPr>
      <w:rFonts w:ascii="Arial" w:eastAsia="Times New Roman" w:hAnsi="Arial" w:cs="Times New Roman"/>
      <w:bCs/>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Refdecomentario">
    <w:name w:val="annotation reference"/>
    <w:basedOn w:val="Fuentedeprrafopredeter"/>
    <w:uiPriority w:val="99"/>
    <w:semiHidden/>
    <w:unhideWhenUsed/>
    <w:rsid w:val="004577FE"/>
    <w:rPr>
      <w:sz w:val="16"/>
      <w:szCs w:val="16"/>
    </w:rPr>
  </w:style>
  <w:style w:type="paragraph" w:styleId="Textodeglobo">
    <w:name w:val="Balloon Text"/>
    <w:basedOn w:val="Normal"/>
    <w:link w:val="TextodegloboCar"/>
    <w:uiPriority w:val="99"/>
    <w:semiHidden/>
    <w:unhideWhenUsed/>
    <w:rsid w:val="000D34BE"/>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D34BE"/>
    <w:rPr>
      <w:rFonts w:ascii="Tahoma" w:hAnsi="Tahoma" w:cs="Tahoma"/>
      <w:sz w:val="16"/>
      <w:szCs w:val="16"/>
    </w:rPr>
  </w:style>
  <w:style w:type="paragraph" w:styleId="Bibliografa">
    <w:name w:val="Bibliography"/>
    <w:basedOn w:val="CETReferencetext"/>
    <w:uiPriority w:val="37"/>
    <w:unhideWhenUsed/>
    <w:rsid w:val="00631B33"/>
    <w:pPr>
      <w:spacing w:line="240" w:lineRule="auto"/>
      <w:ind w:left="720" w:hanging="720"/>
    </w:pPr>
  </w:style>
  <w:style w:type="paragraph" w:styleId="Textoindependiente2">
    <w:name w:val="Body Text 2"/>
    <w:basedOn w:val="Normal"/>
    <w:link w:val="Textoindependiente2Car"/>
    <w:uiPriority w:val="99"/>
    <w:semiHidden/>
    <w:unhideWhenUsed/>
    <w:rsid w:val="0003148D"/>
    <w:pPr>
      <w:spacing w:after="120" w:line="480" w:lineRule="auto"/>
    </w:pPr>
  </w:style>
  <w:style w:type="character" w:customStyle="1" w:styleId="Textoindependiente2Car">
    <w:name w:val="Texto independiente 2 Car"/>
    <w:basedOn w:val="Fuentedeprrafopredeter"/>
    <w:link w:val="Textoindependiente2"/>
    <w:uiPriority w:val="99"/>
    <w:semiHidden/>
    <w:rsid w:val="0003148D"/>
  </w:style>
  <w:style w:type="paragraph" w:styleId="Textoindependiente3">
    <w:name w:val="Body Text 3"/>
    <w:basedOn w:val="Normal"/>
    <w:link w:val="Textoindependiente3Car"/>
    <w:uiPriority w:val="99"/>
    <w:semiHidden/>
    <w:unhideWhenUsed/>
    <w:rsid w:val="0003148D"/>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03148D"/>
    <w:rPr>
      <w:sz w:val="16"/>
      <w:szCs w:val="16"/>
    </w:rPr>
  </w:style>
  <w:style w:type="paragraph" w:styleId="Textoindependiente">
    <w:name w:val="Body Text"/>
    <w:basedOn w:val="Normal"/>
    <w:link w:val="TextoindependienteCar"/>
    <w:uiPriority w:val="99"/>
    <w:semiHidden/>
    <w:unhideWhenUsed/>
    <w:rsid w:val="0003148D"/>
    <w:pPr>
      <w:spacing w:after="120"/>
    </w:pPr>
  </w:style>
  <w:style w:type="character" w:customStyle="1" w:styleId="TextoindependienteCar">
    <w:name w:val="Texto independiente Car"/>
    <w:basedOn w:val="Fuentedeprrafopredeter"/>
    <w:link w:val="Textoindependiente"/>
    <w:uiPriority w:val="99"/>
    <w:semiHidden/>
    <w:rsid w:val="0003148D"/>
  </w:style>
  <w:style w:type="paragraph" w:styleId="Fecha">
    <w:name w:val="Date"/>
    <w:basedOn w:val="Normal"/>
    <w:next w:val="Normal"/>
    <w:link w:val="FechaCar"/>
    <w:uiPriority w:val="99"/>
    <w:semiHidden/>
    <w:unhideWhenUsed/>
    <w:rsid w:val="0003148D"/>
  </w:style>
  <w:style w:type="character" w:customStyle="1" w:styleId="FechaCar">
    <w:name w:val="Fecha Car"/>
    <w:basedOn w:val="Fuentedeprrafopredeter"/>
    <w:link w:val="Fecha"/>
    <w:uiPriority w:val="99"/>
    <w:semiHidden/>
    <w:rsid w:val="0003148D"/>
  </w:style>
  <w:style w:type="paragraph" w:styleId="Descripcin">
    <w:name w:val="caption"/>
    <w:basedOn w:val="Normal"/>
    <w:next w:val="Normal"/>
    <w:uiPriority w:val="35"/>
    <w:semiHidden/>
    <w:unhideWhenUsed/>
    <w:qFormat/>
    <w:rsid w:val="0003148D"/>
    <w:pPr>
      <w:spacing w:line="240" w:lineRule="auto"/>
    </w:pPr>
    <w:rPr>
      <w:b/>
      <w:bCs/>
      <w:color w:val="4F81BD" w:themeColor="accent1"/>
      <w:szCs w:val="18"/>
    </w:rPr>
  </w:style>
  <w:style w:type="paragraph" w:styleId="Lista">
    <w:name w:val="List"/>
    <w:basedOn w:val="Normal"/>
    <w:uiPriority w:val="99"/>
    <w:semiHidden/>
    <w:unhideWhenUsed/>
    <w:rsid w:val="0003148D"/>
    <w:pPr>
      <w:ind w:left="283" w:hanging="283"/>
      <w:contextualSpacing/>
    </w:pPr>
  </w:style>
  <w:style w:type="paragraph" w:styleId="Lista2">
    <w:name w:val="List 2"/>
    <w:basedOn w:val="Normal"/>
    <w:uiPriority w:val="99"/>
    <w:semiHidden/>
    <w:unhideWhenUsed/>
    <w:rsid w:val="0003148D"/>
    <w:pPr>
      <w:ind w:left="566" w:hanging="283"/>
      <w:contextualSpacing/>
    </w:pPr>
  </w:style>
  <w:style w:type="paragraph" w:styleId="Lista3">
    <w:name w:val="List 3"/>
    <w:basedOn w:val="Normal"/>
    <w:uiPriority w:val="99"/>
    <w:semiHidden/>
    <w:unhideWhenUsed/>
    <w:rsid w:val="0003148D"/>
    <w:pPr>
      <w:ind w:left="849" w:hanging="283"/>
      <w:contextualSpacing/>
    </w:pPr>
  </w:style>
  <w:style w:type="paragraph" w:styleId="Lista4">
    <w:name w:val="List 4"/>
    <w:basedOn w:val="Normal"/>
    <w:uiPriority w:val="99"/>
    <w:semiHidden/>
    <w:unhideWhenUsed/>
    <w:rsid w:val="0003148D"/>
    <w:pPr>
      <w:ind w:left="1132" w:hanging="283"/>
      <w:contextualSpacing/>
    </w:pPr>
  </w:style>
  <w:style w:type="paragraph" w:styleId="Lista5">
    <w:name w:val="List 5"/>
    <w:basedOn w:val="Normal"/>
    <w:uiPriority w:val="99"/>
    <w:semiHidden/>
    <w:unhideWhenUsed/>
    <w:rsid w:val="0003148D"/>
    <w:pPr>
      <w:ind w:left="1415" w:hanging="283"/>
      <w:contextualSpacing/>
    </w:pPr>
  </w:style>
  <w:style w:type="paragraph" w:styleId="Continuarlista">
    <w:name w:val="List Continue"/>
    <w:basedOn w:val="Normal"/>
    <w:uiPriority w:val="99"/>
    <w:semiHidden/>
    <w:unhideWhenUsed/>
    <w:rsid w:val="0003148D"/>
    <w:pPr>
      <w:spacing w:after="120"/>
      <w:ind w:left="283"/>
      <w:contextualSpacing/>
    </w:pPr>
  </w:style>
  <w:style w:type="paragraph" w:styleId="Continuarlista2">
    <w:name w:val="List Continue 2"/>
    <w:basedOn w:val="Normal"/>
    <w:uiPriority w:val="99"/>
    <w:semiHidden/>
    <w:unhideWhenUsed/>
    <w:rsid w:val="0003148D"/>
    <w:pPr>
      <w:spacing w:after="120"/>
      <w:ind w:left="566"/>
      <w:contextualSpacing/>
    </w:pPr>
  </w:style>
  <w:style w:type="paragraph" w:styleId="Continuarlista3">
    <w:name w:val="List Continue 3"/>
    <w:basedOn w:val="Normal"/>
    <w:uiPriority w:val="99"/>
    <w:semiHidden/>
    <w:unhideWhenUsed/>
    <w:rsid w:val="0003148D"/>
    <w:pPr>
      <w:spacing w:after="120"/>
      <w:ind w:left="849"/>
      <w:contextualSpacing/>
    </w:pPr>
  </w:style>
  <w:style w:type="paragraph" w:styleId="Continuarlista4">
    <w:name w:val="List Continue 4"/>
    <w:basedOn w:val="Normal"/>
    <w:uiPriority w:val="99"/>
    <w:semiHidden/>
    <w:unhideWhenUsed/>
    <w:rsid w:val="0003148D"/>
    <w:pPr>
      <w:spacing w:after="120"/>
      <w:ind w:left="1132"/>
      <w:contextualSpacing/>
    </w:pPr>
  </w:style>
  <w:style w:type="paragraph" w:styleId="Continuarlista5">
    <w:name w:val="List Continue 5"/>
    <w:basedOn w:val="Normal"/>
    <w:uiPriority w:val="99"/>
    <w:semiHidden/>
    <w:unhideWhenUsed/>
    <w:rsid w:val="0003148D"/>
    <w:pPr>
      <w:spacing w:after="120"/>
      <w:ind w:left="1415"/>
      <w:contextualSpacing/>
    </w:pPr>
  </w:style>
  <w:style w:type="paragraph" w:styleId="Firma">
    <w:name w:val="Signature"/>
    <w:basedOn w:val="Normal"/>
    <w:link w:val="FirmaCar"/>
    <w:uiPriority w:val="99"/>
    <w:semiHidden/>
    <w:unhideWhenUsed/>
    <w:rsid w:val="0003148D"/>
    <w:pPr>
      <w:spacing w:line="240" w:lineRule="auto"/>
      <w:ind w:left="4252"/>
    </w:pPr>
  </w:style>
  <w:style w:type="character" w:customStyle="1" w:styleId="FirmaCar">
    <w:name w:val="Firma Car"/>
    <w:basedOn w:val="Fuentedeprrafopredeter"/>
    <w:link w:val="Firma"/>
    <w:uiPriority w:val="99"/>
    <w:semiHidden/>
    <w:rsid w:val="0003148D"/>
  </w:style>
  <w:style w:type="paragraph" w:styleId="Firmadecorreoelectrnico">
    <w:name w:val="E-mail Signature"/>
    <w:basedOn w:val="Normal"/>
    <w:link w:val="FirmadecorreoelectrnicoCar"/>
    <w:uiPriority w:val="99"/>
    <w:semiHidden/>
    <w:unhideWhenUsed/>
    <w:rsid w:val="0003148D"/>
    <w:pPr>
      <w:spacing w:line="240" w:lineRule="auto"/>
    </w:pPr>
  </w:style>
  <w:style w:type="character" w:customStyle="1" w:styleId="FirmadecorreoelectrnicoCar">
    <w:name w:val="Firma de correo electrónico Car"/>
    <w:basedOn w:val="Fuentedeprrafopredeter"/>
    <w:link w:val="Firmadecorreoelectrnico"/>
    <w:uiPriority w:val="99"/>
    <w:semiHidden/>
    <w:rsid w:val="0003148D"/>
  </w:style>
  <w:style w:type="paragraph" w:styleId="Saludo">
    <w:name w:val="Salutation"/>
    <w:basedOn w:val="Normal"/>
    <w:next w:val="Normal"/>
    <w:link w:val="SaludoCar"/>
    <w:uiPriority w:val="99"/>
    <w:semiHidden/>
    <w:unhideWhenUsed/>
    <w:rsid w:val="0003148D"/>
  </w:style>
  <w:style w:type="character" w:customStyle="1" w:styleId="SaludoCar">
    <w:name w:val="Saludo Car"/>
    <w:basedOn w:val="Fuentedeprrafopredeter"/>
    <w:link w:val="Saludo"/>
    <w:uiPriority w:val="99"/>
    <w:semiHidden/>
    <w:rsid w:val="0003148D"/>
  </w:style>
  <w:style w:type="paragraph" w:styleId="Cierre">
    <w:name w:val="Closing"/>
    <w:basedOn w:val="Normal"/>
    <w:link w:val="CierreCar"/>
    <w:uiPriority w:val="99"/>
    <w:semiHidden/>
    <w:unhideWhenUsed/>
    <w:rsid w:val="0003148D"/>
    <w:pPr>
      <w:spacing w:line="240" w:lineRule="auto"/>
      <w:ind w:left="4252"/>
    </w:pPr>
  </w:style>
  <w:style w:type="character" w:customStyle="1" w:styleId="CierreCar">
    <w:name w:val="Cierre Car"/>
    <w:basedOn w:val="Fuentedeprrafopredeter"/>
    <w:link w:val="Cierre"/>
    <w:uiPriority w:val="99"/>
    <w:semiHidden/>
    <w:rsid w:val="0003148D"/>
  </w:style>
  <w:style w:type="paragraph" w:styleId="ndice1">
    <w:name w:val="index 1"/>
    <w:basedOn w:val="Normal"/>
    <w:next w:val="Normal"/>
    <w:autoRedefine/>
    <w:uiPriority w:val="99"/>
    <w:semiHidden/>
    <w:unhideWhenUsed/>
    <w:rsid w:val="0003148D"/>
    <w:pPr>
      <w:spacing w:line="240" w:lineRule="auto"/>
      <w:ind w:left="220" w:hanging="220"/>
    </w:pPr>
  </w:style>
  <w:style w:type="paragraph" w:styleId="ndice2">
    <w:name w:val="index 2"/>
    <w:basedOn w:val="Normal"/>
    <w:next w:val="Normal"/>
    <w:autoRedefine/>
    <w:uiPriority w:val="99"/>
    <w:semiHidden/>
    <w:unhideWhenUsed/>
    <w:rsid w:val="0003148D"/>
    <w:pPr>
      <w:spacing w:line="240" w:lineRule="auto"/>
      <w:ind w:left="440" w:hanging="220"/>
    </w:pPr>
  </w:style>
  <w:style w:type="paragraph" w:styleId="ndice3">
    <w:name w:val="index 3"/>
    <w:basedOn w:val="Normal"/>
    <w:next w:val="Normal"/>
    <w:autoRedefine/>
    <w:uiPriority w:val="99"/>
    <w:semiHidden/>
    <w:unhideWhenUsed/>
    <w:rsid w:val="0003148D"/>
    <w:pPr>
      <w:spacing w:line="240" w:lineRule="auto"/>
      <w:ind w:left="660" w:hanging="220"/>
    </w:pPr>
  </w:style>
  <w:style w:type="paragraph" w:styleId="ndice4">
    <w:name w:val="index 4"/>
    <w:basedOn w:val="Normal"/>
    <w:next w:val="Normal"/>
    <w:autoRedefine/>
    <w:uiPriority w:val="99"/>
    <w:semiHidden/>
    <w:unhideWhenUsed/>
    <w:rsid w:val="0003148D"/>
    <w:pPr>
      <w:spacing w:line="240" w:lineRule="auto"/>
      <w:ind w:left="880" w:hanging="220"/>
    </w:pPr>
  </w:style>
  <w:style w:type="paragraph" w:styleId="ndice5">
    <w:name w:val="index 5"/>
    <w:basedOn w:val="Normal"/>
    <w:next w:val="Normal"/>
    <w:autoRedefine/>
    <w:uiPriority w:val="99"/>
    <w:semiHidden/>
    <w:unhideWhenUsed/>
    <w:rsid w:val="0003148D"/>
    <w:pPr>
      <w:spacing w:line="240" w:lineRule="auto"/>
      <w:ind w:left="1100" w:hanging="220"/>
    </w:pPr>
  </w:style>
  <w:style w:type="paragraph" w:styleId="ndice6">
    <w:name w:val="index 6"/>
    <w:basedOn w:val="Normal"/>
    <w:next w:val="Normal"/>
    <w:autoRedefine/>
    <w:uiPriority w:val="99"/>
    <w:semiHidden/>
    <w:unhideWhenUsed/>
    <w:rsid w:val="0003148D"/>
    <w:pPr>
      <w:spacing w:line="240" w:lineRule="auto"/>
      <w:ind w:left="1320" w:hanging="220"/>
    </w:pPr>
  </w:style>
  <w:style w:type="paragraph" w:styleId="ndice7">
    <w:name w:val="index 7"/>
    <w:basedOn w:val="Normal"/>
    <w:next w:val="Normal"/>
    <w:autoRedefine/>
    <w:uiPriority w:val="99"/>
    <w:semiHidden/>
    <w:unhideWhenUsed/>
    <w:rsid w:val="0003148D"/>
    <w:pPr>
      <w:spacing w:line="240" w:lineRule="auto"/>
      <w:ind w:left="1540" w:hanging="220"/>
    </w:pPr>
  </w:style>
  <w:style w:type="paragraph" w:styleId="ndice8">
    <w:name w:val="index 8"/>
    <w:basedOn w:val="Normal"/>
    <w:next w:val="Normal"/>
    <w:autoRedefine/>
    <w:uiPriority w:val="99"/>
    <w:semiHidden/>
    <w:unhideWhenUsed/>
    <w:rsid w:val="0003148D"/>
    <w:pPr>
      <w:spacing w:line="240" w:lineRule="auto"/>
      <w:ind w:left="1760" w:hanging="220"/>
    </w:pPr>
  </w:style>
  <w:style w:type="paragraph" w:styleId="ndice9">
    <w:name w:val="index 9"/>
    <w:basedOn w:val="Normal"/>
    <w:next w:val="Normal"/>
    <w:autoRedefine/>
    <w:uiPriority w:val="99"/>
    <w:semiHidden/>
    <w:unhideWhenUsed/>
    <w:rsid w:val="0003148D"/>
    <w:pPr>
      <w:spacing w:line="240" w:lineRule="auto"/>
      <w:ind w:left="1980" w:hanging="220"/>
    </w:pPr>
  </w:style>
  <w:style w:type="paragraph" w:styleId="Tabladeilustraciones">
    <w:name w:val="table of figures"/>
    <w:basedOn w:val="Normal"/>
    <w:next w:val="Normal"/>
    <w:uiPriority w:val="99"/>
    <w:semiHidden/>
    <w:unhideWhenUsed/>
    <w:rsid w:val="0003148D"/>
  </w:style>
  <w:style w:type="paragraph" w:styleId="Textoconsangra">
    <w:name w:val="table of authorities"/>
    <w:basedOn w:val="Normal"/>
    <w:next w:val="Normal"/>
    <w:uiPriority w:val="99"/>
    <w:semiHidden/>
    <w:unhideWhenUsed/>
    <w:rsid w:val="0003148D"/>
    <w:pPr>
      <w:ind w:left="220" w:hanging="220"/>
    </w:pPr>
  </w:style>
  <w:style w:type="paragraph" w:styleId="Direccinsobre">
    <w:name w:val="envelope address"/>
    <w:basedOn w:val="Normal"/>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DireccinHTML">
    <w:name w:val="HTML Address"/>
    <w:basedOn w:val="Normal"/>
    <w:link w:val="DireccinHTMLCar"/>
    <w:uiPriority w:val="99"/>
    <w:semiHidden/>
    <w:unhideWhenUsed/>
    <w:rsid w:val="0003148D"/>
    <w:pPr>
      <w:spacing w:line="240" w:lineRule="auto"/>
    </w:pPr>
    <w:rPr>
      <w:i/>
      <w:iCs/>
    </w:rPr>
  </w:style>
  <w:style w:type="character" w:customStyle="1" w:styleId="DireccinHTMLCar">
    <w:name w:val="Dirección HTML Car"/>
    <w:basedOn w:val="Fuentedeprrafopredeter"/>
    <w:link w:val="DireccinHTML"/>
    <w:uiPriority w:val="99"/>
    <w:semiHidden/>
    <w:rsid w:val="0003148D"/>
    <w:rPr>
      <w:i/>
      <w:iCs/>
    </w:rPr>
  </w:style>
  <w:style w:type="paragraph" w:styleId="Remitedesobre">
    <w:name w:val="envelope return"/>
    <w:basedOn w:val="Normal"/>
    <w:uiPriority w:val="99"/>
    <w:semiHidden/>
    <w:unhideWhenUsed/>
    <w:rsid w:val="0003148D"/>
    <w:pPr>
      <w:spacing w:line="240" w:lineRule="auto"/>
    </w:pPr>
    <w:rPr>
      <w:rFonts w:asciiTheme="majorHAnsi" w:eastAsiaTheme="majorEastAsia" w:hAnsiTheme="majorHAnsi" w:cstheme="majorBidi"/>
    </w:rPr>
  </w:style>
  <w:style w:type="paragraph" w:styleId="Encabezadodemensaje">
    <w:name w:val="Message Header"/>
    <w:basedOn w:val="Normal"/>
    <w:link w:val="EncabezadodemensajeC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03148D"/>
    <w:rPr>
      <w:rFonts w:asciiTheme="majorHAnsi" w:eastAsiaTheme="majorEastAsia" w:hAnsiTheme="majorHAnsi" w:cstheme="majorBidi"/>
      <w:sz w:val="24"/>
      <w:szCs w:val="24"/>
      <w:shd w:val="pct20" w:color="auto" w:fill="auto"/>
    </w:rPr>
  </w:style>
  <w:style w:type="paragraph" w:styleId="Encabezadodenota">
    <w:name w:val="Note Heading"/>
    <w:basedOn w:val="Normal"/>
    <w:next w:val="Normal"/>
    <w:link w:val="EncabezadodenotaCar"/>
    <w:uiPriority w:val="99"/>
    <w:semiHidden/>
    <w:unhideWhenUsed/>
    <w:rsid w:val="0003148D"/>
    <w:pPr>
      <w:spacing w:line="240" w:lineRule="auto"/>
    </w:pPr>
  </w:style>
  <w:style w:type="character" w:customStyle="1" w:styleId="EncabezadodenotaCar">
    <w:name w:val="Encabezado de nota Car"/>
    <w:basedOn w:val="Fuentedeprrafopredeter"/>
    <w:link w:val="Encabezadodenota"/>
    <w:uiPriority w:val="99"/>
    <w:semiHidden/>
    <w:rsid w:val="0003148D"/>
  </w:style>
  <w:style w:type="paragraph" w:styleId="Mapadeldocumento">
    <w:name w:val="Document Map"/>
    <w:basedOn w:val="Normal"/>
    <w:link w:val="MapadeldocumentoCar"/>
    <w:uiPriority w:val="99"/>
    <w:semiHidden/>
    <w:unhideWhenUsed/>
    <w:rsid w:val="0003148D"/>
    <w:pPr>
      <w:spacing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03148D"/>
    <w:rPr>
      <w:rFonts w:ascii="Tahoma" w:hAnsi="Tahoma" w:cs="Tahoma"/>
      <w:sz w:val="16"/>
      <w:szCs w:val="16"/>
    </w:rPr>
  </w:style>
  <w:style w:type="paragraph" w:styleId="NormalWeb">
    <w:name w:val="Normal (Web)"/>
    <w:basedOn w:val="Normal"/>
    <w:uiPriority w:val="99"/>
    <w:semiHidden/>
    <w:unhideWhenUsed/>
    <w:rsid w:val="0003148D"/>
    <w:rPr>
      <w:sz w:val="24"/>
      <w:szCs w:val="24"/>
    </w:rPr>
  </w:style>
  <w:style w:type="paragraph" w:styleId="Listaconnmeros">
    <w:name w:val="List Number"/>
    <w:basedOn w:val="Normal"/>
    <w:uiPriority w:val="99"/>
    <w:semiHidden/>
    <w:unhideWhenUsed/>
    <w:rsid w:val="0003148D"/>
    <w:pPr>
      <w:numPr>
        <w:numId w:val="2"/>
      </w:numPr>
      <w:contextualSpacing/>
    </w:pPr>
  </w:style>
  <w:style w:type="paragraph" w:styleId="Listaconnmeros2">
    <w:name w:val="List Number 2"/>
    <w:basedOn w:val="Normal"/>
    <w:uiPriority w:val="99"/>
    <w:semiHidden/>
    <w:unhideWhenUsed/>
    <w:rsid w:val="0003148D"/>
    <w:pPr>
      <w:numPr>
        <w:numId w:val="3"/>
      </w:numPr>
      <w:contextualSpacing/>
    </w:pPr>
  </w:style>
  <w:style w:type="paragraph" w:styleId="Listaconnmeros3">
    <w:name w:val="List Number 3"/>
    <w:basedOn w:val="Normal"/>
    <w:uiPriority w:val="99"/>
    <w:semiHidden/>
    <w:unhideWhenUsed/>
    <w:rsid w:val="0003148D"/>
    <w:pPr>
      <w:numPr>
        <w:numId w:val="4"/>
      </w:numPr>
      <w:contextualSpacing/>
    </w:pPr>
  </w:style>
  <w:style w:type="paragraph" w:styleId="Listaconnmeros4">
    <w:name w:val="List Number 4"/>
    <w:basedOn w:val="Normal"/>
    <w:uiPriority w:val="99"/>
    <w:semiHidden/>
    <w:unhideWhenUsed/>
    <w:rsid w:val="0003148D"/>
    <w:pPr>
      <w:numPr>
        <w:numId w:val="5"/>
      </w:numPr>
      <w:contextualSpacing/>
    </w:pPr>
  </w:style>
  <w:style w:type="paragraph" w:styleId="Listaconnmeros5">
    <w:name w:val="List Number 5"/>
    <w:basedOn w:val="Normal"/>
    <w:uiPriority w:val="99"/>
    <w:semiHidden/>
    <w:unhideWhenUsed/>
    <w:rsid w:val="0003148D"/>
    <w:pPr>
      <w:numPr>
        <w:numId w:val="6"/>
      </w:numPr>
      <w:contextualSpacing/>
    </w:pPr>
  </w:style>
  <w:style w:type="paragraph" w:styleId="HTMLconformatoprevio">
    <w:name w:val="HTML Preformatted"/>
    <w:basedOn w:val="Normal"/>
    <w:link w:val="HTMLconformatoprevioCar"/>
    <w:uiPriority w:val="99"/>
    <w:semiHidden/>
    <w:unhideWhenUsed/>
    <w:rsid w:val="0003148D"/>
    <w:pPr>
      <w:spacing w:line="240" w:lineRule="auto"/>
    </w:pPr>
    <w:rPr>
      <w:rFonts w:ascii="Consolas" w:hAnsi="Consolas" w:cs="Consolas"/>
    </w:rPr>
  </w:style>
  <w:style w:type="character" w:customStyle="1" w:styleId="HTMLconformatoprevioCar">
    <w:name w:val="HTML con formato previo Car"/>
    <w:basedOn w:val="Fuentedeprrafopredeter"/>
    <w:link w:val="HTMLconformatoprevio"/>
    <w:uiPriority w:val="99"/>
    <w:semiHidden/>
    <w:rsid w:val="0003148D"/>
    <w:rPr>
      <w:rFonts w:ascii="Consolas" w:hAnsi="Consolas" w:cs="Consolas"/>
      <w:sz w:val="20"/>
      <w:szCs w:val="20"/>
    </w:rPr>
  </w:style>
  <w:style w:type="paragraph" w:styleId="Textoindependienteprimerasangra">
    <w:name w:val="Body Text First Indent"/>
    <w:basedOn w:val="Textoindependiente"/>
    <w:link w:val="TextoindependienteprimerasangraCar"/>
    <w:uiPriority w:val="99"/>
    <w:semiHidden/>
    <w:unhideWhenUsed/>
    <w:rsid w:val="0003148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03148D"/>
  </w:style>
  <w:style w:type="paragraph" w:styleId="Sangradetextonormal">
    <w:name w:val="Body Text Indent"/>
    <w:basedOn w:val="Normal"/>
    <w:link w:val="SangradetextonormalCar"/>
    <w:uiPriority w:val="99"/>
    <w:semiHidden/>
    <w:unhideWhenUsed/>
    <w:rsid w:val="0003148D"/>
    <w:pPr>
      <w:spacing w:after="120"/>
      <w:ind w:left="283"/>
    </w:pPr>
  </w:style>
  <w:style w:type="character" w:customStyle="1" w:styleId="SangradetextonormalCar">
    <w:name w:val="Sangría de texto normal Car"/>
    <w:basedOn w:val="Fuentedeprrafopredeter"/>
    <w:link w:val="Sangradetextonormal"/>
    <w:uiPriority w:val="99"/>
    <w:semiHidden/>
    <w:rsid w:val="0003148D"/>
  </w:style>
  <w:style w:type="paragraph" w:styleId="Textoindependienteprimerasangra2">
    <w:name w:val="Body Text First Indent 2"/>
    <w:basedOn w:val="Sangradetextonormal"/>
    <w:link w:val="Textoindependienteprimerasangra2Car"/>
    <w:uiPriority w:val="99"/>
    <w:semiHidden/>
    <w:unhideWhenUsed/>
    <w:rsid w:val="0003148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03148D"/>
  </w:style>
  <w:style w:type="paragraph" w:styleId="Listaconvietas">
    <w:name w:val="List Bullet"/>
    <w:basedOn w:val="Normal"/>
    <w:uiPriority w:val="99"/>
    <w:semiHidden/>
    <w:unhideWhenUsed/>
    <w:rsid w:val="0003148D"/>
    <w:pPr>
      <w:numPr>
        <w:numId w:val="7"/>
      </w:numPr>
      <w:contextualSpacing/>
    </w:pPr>
  </w:style>
  <w:style w:type="paragraph" w:styleId="Listaconvietas2">
    <w:name w:val="List Bullet 2"/>
    <w:basedOn w:val="Normal"/>
    <w:uiPriority w:val="99"/>
    <w:semiHidden/>
    <w:unhideWhenUsed/>
    <w:rsid w:val="0003148D"/>
    <w:pPr>
      <w:numPr>
        <w:numId w:val="8"/>
      </w:numPr>
      <w:contextualSpacing/>
    </w:pPr>
  </w:style>
  <w:style w:type="paragraph" w:styleId="Listaconvietas3">
    <w:name w:val="List Bullet 3"/>
    <w:basedOn w:val="Normal"/>
    <w:uiPriority w:val="99"/>
    <w:semiHidden/>
    <w:unhideWhenUsed/>
    <w:rsid w:val="0003148D"/>
    <w:pPr>
      <w:numPr>
        <w:numId w:val="9"/>
      </w:numPr>
      <w:contextualSpacing/>
    </w:pPr>
  </w:style>
  <w:style w:type="paragraph" w:styleId="Listaconvietas4">
    <w:name w:val="List Bullet 4"/>
    <w:basedOn w:val="Normal"/>
    <w:uiPriority w:val="99"/>
    <w:semiHidden/>
    <w:unhideWhenUsed/>
    <w:rsid w:val="0003148D"/>
    <w:pPr>
      <w:numPr>
        <w:numId w:val="10"/>
      </w:numPr>
      <w:contextualSpacing/>
    </w:pPr>
  </w:style>
  <w:style w:type="paragraph" w:styleId="Listaconvietas5">
    <w:name w:val="List Bullet 5"/>
    <w:basedOn w:val="Normal"/>
    <w:uiPriority w:val="99"/>
    <w:semiHidden/>
    <w:unhideWhenUsed/>
    <w:rsid w:val="0003148D"/>
    <w:pPr>
      <w:numPr>
        <w:numId w:val="11"/>
      </w:numPr>
      <w:contextualSpacing/>
    </w:pPr>
  </w:style>
  <w:style w:type="paragraph" w:styleId="Sangra2detindependiente">
    <w:name w:val="Body Text Indent 2"/>
    <w:basedOn w:val="Normal"/>
    <w:link w:val="Sangra2detindependienteCar"/>
    <w:uiPriority w:val="99"/>
    <w:semiHidden/>
    <w:unhideWhenUsed/>
    <w:rsid w:val="0003148D"/>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03148D"/>
  </w:style>
  <w:style w:type="paragraph" w:styleId="Sangra3detindependiente">
    <w:name w:val="Body Text Indent 3"/>
    <w:basedOn w:val="Normal"/>
    <w:link w:val="Sangra3detindependienteCar"/>
    <w:uiPriority w:val="99"/>
    <w:semiHidden/>
    <w:unhideWhenUsed/>
    <w:rsid w:val="0003148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03148D"/>
    <w:rPr>
      <w:sz w:val="16"/>
      <w:szCs w:val="16"/>
    </w:rPr>
  </w:style>
  <w:style w:type="paragraph" w:styleId="Sangranormal">
    <w:name w:val="Normal Indent"/>
    <w:basedOn w:val="Normal"/>
    <w:uiPriority w:val="99"/>
    <w:semiHidden/>
    <w:unhideWhenUsed/>
    <w:rsid w:val="0003148D"/>
    <w:pPr>
      <w:ind w:left="720"/>
    </w:pPr>
  </w:style>
  <w:style w:type="paragraph" w:styleId="Textocomentario">
    <w:name w:val="annotation text"/>
    <w:basedOn w:val="Normal"/>
    <w:link w:val="TextocomentarioCar"/>
    <w:uiPriority w:val="99"/>
    <w:unhideWhenUsed/>
    <w:rsid w:val="0003148D"/>
    <w:pPr>
      <w:spacing w:line="240" w:lineRule="auto"/>
    </w:pPr>
  </w:style>
  <w:style w:type="character" w:customStyle="1" w:styleId="TextocomentarioCar">
    <w:name w:val="Texto comentario Car"/>
    <w:basedOn w:val="Fuentedeprrafopredeter"/>
    <w:link w:val="Textocomentario"/>
    <w:uiPriority w:val="99"/>
    <w:rsid w:val="0003148D"/>
    <w:rPr>
      <w:sz w:val="20"/>
      <w:szCs w:val="20"/>
    </w:rPr>
  </w:style>
  <w:style w:type="paragraph" w:styleId="Asuntodelcomentario">
    <w:name w:val="annotation subject"/>
    <w:basedOn w:val="Textocomentario"/>
    <w:next w:val="Textocomentario"/>
    <w:link w:val="AsuntodelcomentarioCar"/>
    <w:uiPriority w:val="99"/>
    <w:semiHidden/>
    <w:unhideWhenUsed/>
    <w:rsid w:val="0003148D"/>
    <w:rPr>
      <w:b/>
      <w:bCs/>
    </w:rPr>
  </w:style>
  <w:style w:type="character" w:customStyle="1" w:styleId="AsuntodelcomentarioCar">
    <w:name w:val="Asunto del comentario Car"/>
    <w:basedOn w:val="TextocomentarioCar"/>
    <w:link w:val="Asuntodelcomentario"/>
    <w:uiPriority w:val="99"/>
    <w:semiHidden/>
    <w:rsid w:val="0003148D"/>
    <w:rPr>
      <w:b/>
      <w:bCs/>
      <w:sz w:val="20"/>
      <w:szCs w:val="20"/>
    </w:rPr>
  </w:style>
  <w:style w:type="paragraph" w:styleId="TDC1">
    <w:name w:val="toc 1"/>
    <w:basedOn w:val="Normal"/>
    <w:next w:val="Normal"/>
    <w:autoRedefine/>
    <w:uiPriority w:val="39"/>
    <w:semiHidden/>
    <w:unhideWhenUsed/>
    <w:rsid w:val="0003148D"/>
    <w:pPr>
      <w:spacing w:after="100"/>
    </w:pPr>
  </w:style>
  <w:style w:type="paragraph" w:styleId="TDC2">
    <w:name w:val="toc 2"/>
    <w:basedOn w:val="Normal"/>
    <w:next w:val="Normal"/>
    <w:autoRedefine/>
    <w:uiPriority w:val="39"/>
    <w:semiHidden/>
    <w:unhideWhenUsed/>
    <w:rsid w:val="0003148D"/>
    <w:pPr>
      <w:spacing w:after="100"/>
      <w:ind w:left="220"/>
    </w:pPr>
  </w:style>
  <w:style w:type="paragraph" w:styleId="TDC3">
    <w:name w:val="toc 3"/>
    <w:basedOn w:val="Normal"/>
    <w:next w:val="Normal"/>
    <w:autoRedefine/>
    <w:uiPriority w:val="39"/>
    <w:semiHidden/>
    <w:unhideWhenUsed/>
    <w:rsid w:val="0003148D"/>
    <w:pPr>
      <w:spacing w:after="100"/>
      <w:ind w:left="440"/>
    </w:pPr>
  </w:style>
  <w:style w:type="paragraph" w:styleId="TDC4">
    <w:name w:val="toc 4"/>
    <w:basedOn w:val="Normal"/>
    <w:next w:val="Normal"/>
    <w:autoRedefine/>
    <w:uiPriority w:val="39"/>
    <w:semiHidden/>
    <w:unhideWhenUsed/>
    <w:rsid w:val="0003148D"/>
    <w:pPr>
      <w:spacing w:after="100"/>
      <w:ind w:left="660"/>
    </w:pPr>
  </w:style>
  <w:style w:type="paragraph" w:styleId="TDC5">
    <w:name w:val="toc 5"/>
    <w:basedOn w:val="Normal"/>
    <w:next w:val="Normal"/>
    <w:autoRedefine/>
    <w:uiPriority w:val="39"/>
    <w:semiHidden/>
    <w:unhideWhenUsed/>
    <w:rsid w:val="0003148D"/>
    <w:pPr>
      <w:spacing w:after="100"/>
      <w:ind w:left="880"/>
    </w:pPr>
  </w:style>
  <w:style w:type="paragraph" w:styleId="TDC6">
    <w:name w:val="toc 6"/>
    <w:basedOn w:val="Normal"/>
    <w:next w:val="Normal"/>
    <w:autoRedefine/>
    <w:uiPriority w:val="39"/>
    <w:semiHidden/>
    <w:unhideWhenUsed/>
    <w:rsid w:val="0003148D"/>
    <w:pPr>
      <w:spacing w:after="100"/>
      <w:ind w:left="1100"/>
    </w:pPr>
  </w:style>
  <w:style w:type="paragraph" w:styleId="TDC7">
    <w:name w:val="toc 7"/>
    <w:basedOn w:val="Normal"/>
    <w:next w:val="Normal"/>
    <w:autoRedefine/>
    <w:uiPriority w:val="39"/>
    <w:semiHidden/>
    <w:unhideWhenUsed/>
    <w:rsid w:val="0003148D"/>
    <w:pPr>
      <w:spacing w:after="100"/>
      <w:ind w:left="1320"/>
    </w:pPr>
  </w:style>
  <w:style w:type="paragraph" w:styleId="TDC8">
    <w:name w:val="toc 8"/>
    <w:basedOn w:val="Normal"/>
    <w:next w:val="Normal"/>
    <w:autoRedefine/>
    <w:uiPriority w:val="39"/>
    <w:semiHidden/>
    <w:unhideWhenUsed/>
    <w:rsid w:val="0003148D"/>
    <w:pPr>
      <w:spacing w:after="100"/>
      <w:ind w:left="1540"/>
    </w:pPr>
  </w:style>
  <w:style w:type="paragraph" w:styleId="TDC9">
    <w:name w:val="toc 9"/>
    <w:basedOn w:val="Normal"/>
    <w:next w:val="Normal"/>
    <w:autoRedefine/>
    <w:uiPriority w:val="39"/>
    <w:semiHidden/>
    <w:unhideWhenUsed/>
    <w:rsid w:val="0003148D"/>
    <w:pPr>
      <w:spacing w:after="100"/>
      <w:ind w:left="1760"/>
    </w:pPr>
  </w:style>
  <w:style w:type="paragraph" w:styleId="Textodebloque">
    <w:name w:val="Block Text"/>
    <w:basedOn w:val="Norma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Textomacro">
    <w:name w:val="macro"/>
    <w:link w:val="TextomacroC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TextomacroCar">
    <w:name w:val="Texto macro Car"/>
    <w:basedOn w:val="Fuentedeprrafopredeter"/>
    <w:link w:val="Textomacro"/>
    <w:uiPriority w:val="99"/>
    <w:semiHidden/>
    <w:rsid w:val="0003148D"/>
    <w:rPr>
      <w:rFonts w:ascii="Consolas" w:hAnsi="Consolas" w:cs="Consolas"/>
      <w:sz w:val="20"/>
      <w:szCs w:val="20"/>
    </w:rPr>
  </w:style>
  <w:style w:type="paragraph" w:styleId="Textosinformato">
    <w:name w:val="Plain Text"/>
    <w:basedOn w:val="Normal"/>
    <w:link w:val="TextosinformatoCar"/>
    <w:uiPriority w:val="99"/>
    <w:semiHidden/>
    <w:unhideWhenUsed/>
    <w:rsid w:val="0003148D"/>
    <w:pPr>
      <w:spacing w:line="240" w:lineRule="auto"/>
    </w:pPr>
    <w:rPr>
      <w:rFonts w:ascii="Consolas" w:hAnsi="Consolas" w:cs="Consolas"/>
      <w:sz w:val="21"/>
      <w:szCs w:val="21"/>
    </w:rPr>
  </w:style>
  <w:style w:type="character" w:customStyle="1" w:styleId="TextosinformatoCar">
    <w:name w:val="Texto sin formato Car"/>
    <w:basedOn w:val="Fuentedeprrafopredeter"/>
    <w:link w:val="Textosinformato"/>
    <w:uiPriority w:val="99"/>
    <w:semiHidden/>
    <w:rsid w:val="0003148D"/>
    <w:rPr>
      <w:rFonts w:ascii="Consolas" w:hAnsi="Consolas" w:cs="Consolas"/>
      <w:sz w:val="21"/>
      <w:szCs w:val="21"/>
    </w:rPr>
  </w:style>
  <w:style w:type="paragraph" w:styleId="Textonotapie">
    <w:name w:val="footnote text"/>
    <w:basedOn w:val="Normal"/>
    <w:link w:val="TextonotapieCar"/>
    <w:uiPriority w:val="99"/>
    <w:semiHidden/>
    <w:unhideWhenUsed/>
    <w:rsid w:val="0003148D"/>
    <w:pPr>
      <w:spacing w:line="240" w:lineRule="auto"/>
    </w:pPr>
  </w:style>
  <w:style w:type="character" w:customStyle="1" w:styleId="TextonotapieCar">
    <w:name w:val="Texto nota pie Car"/>
    <w:basedOn w:val="Fuentedeprrafopredeter"/>
    <w:link w:val="Textonotapie"/>
    <w:uiPriority w:val="99"/>
    <w:semiHidden/>
    <w:rsid w:val="0003148D"/>
    <w:rPr>
      <w:sz w:val="20"/>
      <w:szCs w:val="20"/>
    </w:rPr>
  </w:style>
  <w:style w:type="paragraph" w:styleId="Textonotaalfinal">
    <w:name w:val="endnote text"/>
    <w:basedOn w:val="Normal"/>
    <w:link w:val="TextonotaalfinalCar"/>
    <w:uiPriority w:val="99"/>
    <w:semiHidden/>
    <w:unhideWhenUsed/>
    <w:rsid w:val="0003148D"/>
    <w:pPr>
      <w:spacing w:line="240" w:lineRule="auto"/>
    </w:pPr>
  </w:style>
  <w:style w:type="character" w:customStyle="1" w:styleId="TextonotaalfinalCar">
    <w:name w:val="Texto nota al final Car"/>
    <w:basedOn w:val="Fuentedeprrafopredeter"/>
    <w:link w:val="Textonotaalfinal"/>
    <w:uiPriority w:val="99"/>
    <w:semiHidden/>
    <w:rsid w:val="0003148D"/>
    <w:rPr>
      <w:sz w:val="20"/>
      <w:szCs w:val="20"/>
    </w:rPr>
  </w:style>
  <w:style w:type="character" w:customStyle="1" w:styleId="Ttulo1Car">
    <w:name w:val="Título 1 Car"/>
    <w:basedOn w:val="Fuentedeprrafopredeter"/>
    <w:link w:val="Ttulo1"/>
    <w:uiPriority w:val="9"/>
    <w:rsid w:val="004F5E36"/>
    <w:rPr>
      <w:rFonts w:ascii="Arial" w:eastAsia="Times New Roman" w:hAnsi="Arial" w:cs="Times New Roman"/>
      <w:b/>
      <w:sz w:val="20"/>
      <w:szCs w:val="20"/>
      <w:lang w:val="en-GB"/>
    </w:rPr>
  </w:style>
  <w:style w:type="character" w:customStyle="1" w:styleId="Ttulo2Car">
    <w:name w:val="Título 2 Car"/>
    <w:basedOn w:val="Fuentedeprrafopredeter"/>
    <w:link w:val="Ttulo2"/>
    <w:uiPriority w:val="9"/>
    <w:semiHidden/>
    <w:rsid w:val="0003148D"/>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semiHidden/>
    <w:rsid w:val="0003148D"/>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03148D"/>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03148D"/>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03148D"/>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03148D"/>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03148D"/>
    <w:rPr>
      <w:rFonts w:asciiTheme="majorHAnsi" w:eastAsiaTheme="majorEastAsia" w:hAnsiTheme="majorHAnsi" w:cstheme="majorBidi"/>
      <w:i/>
      <w:iCs/>
      <w:color w:val="404040" w:themeColor="text1" w:themeTint="BF"/>
      <w:sz w:val="20"/>
      <w:szCs w:val="20"/>
    </w:rPr>
  </w:style>
  <w:style w:type="paragraph" w:styleId="Ttulodendice">
    <w:name w:val="index heading"/>
    <w:basedOn w:val="Normal"/>
    <w:next w:val="ndice1"/>
    <w:uiPriority w:val="99"/>
    <w:semiHidden/>
    <w:unhideWhenUsed/>
    <w:rsid w:val="0003148D"/>
    <w:rPr>
      <w:rFonts w:asciiTheme="majorHAnsi" w:eastAsiaTheme="majorEastAsia" w:hAnsiTheme="majorHAnsi" w:cstheme="majorBidi"/>
      <w:b/>
      <w:bCs/>
    </w:rPr>
  </w:style>
  <w:style w:type="paragraph" w:styleId="Encabezadodelista">
    <w:name w:val="toa heading"/>
    <w:basedOn w:val="Normal"/>
    <w:next w:val="Normal"/>
    <w:uiPriority w:val="99"/>
    <w:semiHidden/>
    <w:unhideWhenUsed/>
    <w:rsid w:val="0003148D"/>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Fuentedeprrafopredeter"/>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Encabezado">
    <w:name w:val="header"/>
    <w:basedOn w:val="Normal"/>
    <w:link w:val="EncabezadoCar"/>
    <w:uiPriority w:val="99"/>
    <w:unhideWhenUsed/>
    <w:rsid w:val="005278B7"/>
    <w:pPr>
      <w:tabs>
        <w:tab w:val="clear" w:pos="7100"/>
        <w:tab w:val="center" w:pos="4819"/>
        <w:tab w:val="right" w:pos="9638"/>
      </w:tabs>
      <w:spacing w:line="240" w:lineRule="auto"/>
    </w:pPr>
  </w:style>
  <w:style w:type="character" w:customStyle="1" w:styleId="EncabezadoCar">
    <w:name w:val="Encabezado Car"/>
    <w:basedOn w:val="Fuentedeprrafopredeter"/>
    <w:link w:val="Encabezado"/>
    <w:uiPriority w:val="99"/>
    <w:rsid w:val="005278B7"/>
    <w:rPr>
      <w:rFonts w:ascii="Arial" w:eastAsia="Times New Roman" w:hAnsi="Arial" w:cs="Times New Roman"/>
      <w:sz w:val="18"/>
      <w:szCs w:val="20"/>
      <w:lang w:val="en-GB"/>
    </w:rPr>
  </w:style>
  <w:style w:type="paragraph" w:styleId="Piedepgina">
    <w:name w:val="footer"/>
    <w:basedOn w:val="Normal"/>
    <w:link w:val="PiedepginaCar"/>
    <w:uiPriority w:val="99"/>
    <w:unhideWhenUsed/>
    <w:rsid w:val="005278B7"/>
    <w:pPr>
      <w:tabs>
        <w:tab w:val="clear" w:pos="7100"/>
        <w:tab w:val="center" w:pos="4819"/>
        <w:tab w:val="right" w:pos="9638"/>
      </w:tabs>
      <w:spacing w:line="240" w:lineRule="auto"/>
    </w:pPr>
  </w:style>
  <w:style w:type="character" w:customStyle="1" w:styleId="PiedepginaCar">
    <w:name w:val="Pie de página Car"/>
    <w:basedOn w:val="Fuentedeprrafopredeter"/>
    <w:link w:val="Piedepgina"/>
    <w:uiPriority w:val="99"/>
    <w:rsid w:val="005278B7"/>
    <w:rPr>
      <w:rFonts w:ascii="Arial" w:eastAsia="Times New Roman" w:hAnsi="Arial" w:cs="Times New Roman"/>
      <w:sz w:val="18"/>
      <w:szCs w:val="20"/>
      <w:lang w:val="en-GB"/>
    </w:rPr>
  </w:style>
  <w:style w:type="table" w:styleId="Tablaconcuadrcula">
    <w:name w:val="Table Grid"/>
    <w:basedOn w:val="Tablanormal"/>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04C62"/>
    <w:rPr>
      <w:color w:val="0000FF" w:themeColor="hyperlink"/>
      <w:u w:val="single"/>
    </w:rPr>
  </w:style>
  <w:style w:type="character" w:customStyle="1" w:styleId="eudoraheader">
    <w:name w:val="eudoraheader"/>
    <w:basedOn w:val="Fuentedeprrafopredeter"/>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style>
  <w:style w:type="character" w:customStyle="1" w:styleId="CETHeadingxxChar">
    <w:name w:val="CET Headingxx Char"/>
    <w:basedOn w:val="CETheadingxCarattere"/>
    <w:link w:val="CETHeadingxx"/>
    <w:rsid w:val="000F787B"/>
    <w:rPr>
      <w:rFonts w:ascii="Arial" w:eastAsia="Times New Roman" w:hAnsi="Arial" w:cs="Times New Roman"/>
      <w:b w:val="0"/>
      <w:bCs/>
      <w:sz w:val="18"/>
      <w:szCs w:val="20"/>
      <w:lang w:val="en-US"/>
    </w:rPr>
  </w:style>
  <w:style w:type="paragraph" w:styleId="Prrafodelista">
    <w:name w:val="List Paragraph"/>
    <w:basedOn w:val="Normal"/>
    <w:uiPriority w:val="34"/>
    <w:rsid w:val="00280FAF"/>
    <w:pPr>
      <w:ind w:left="720"/>
      <w:contextualSpacing/>
    </w:pPr>
  </w:style>
  <w:style w:type="character" w:customStyle="1" w:styleId="gmail-apple-converted-space">
    <w:name w:val="gmail-apple-converted-space"/>
    <w:basedOn w:val="Fuentedeprrafopredeter"/>
    <w:rsid w:val="00005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2035751">
      <w:bodyDiv w:val="1"/>
      <w:marLeft w:val="0"/>
      <w:marRight w:val="0"/>
      <w:marTop w:val="0"/>
      <w:marBottom w:val="0"/>
      <w:divBdr>
        <w:top w:val="none" w:sz="0" w:space="0" w:color="auto"/>
        <w:left w:val="none" w:sz="0" w:space="0" w:color="auto"/>
        <w:bottom w:val="none" w:sz="0" w:space="0" w:color="auto"/>
        <w:right w:val="none" w:sz="0" w:space="0" w:color="auto"/>
      </w:divBdr>
      <w:divsChild>
        <w:div w:id="113445894">
          <w:marLeft w:val="0"/>
          <w:marRight w:val="0"/>
          <w:marTop w:val="0"/>
          <w:marBottom w:val="0"/>
          <w:divBdr>
            <w:top w:val="none" w:sz="0" w:space="0" w:color="auto"/>
            <w:left w:val="none" w:sz="0" w:space="0" w:color="auto"/>
            <w:bottom w:val="none" w:sz="0" w:space="0" w:color="auto"/>
            <w:right w:val="none" w:sz="0" w:space="0" w:color="auto"/>
          </w:divBdr>
        </w:div>
      </w:divsChild>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954861">
      <w:bodyDiv w:val="1"/>
      <w:marLeft w:val="0"/>
      <w:marRight w:val="0"/>
      <w:marTop w:val="0"/>
      <w:marBottom w:val="0"/>
      <w:divBdr>
        <w:top w:val="none" w:sz="0" w:space="0" w:color="auto"/>
        <w:left w:val="none" w:sz="0" w:space="0" w:color="auto"/>
        <w:bottom w:val="none" w:sz="0" w:space="0" w:color="auto"/>
        <w:right w:val="none" w:sz="0" w:space="0" w:color="auto"/>
      </w:divBdr>
      <w:divsChild>
        <w:div w:id="1436050015">
          <w:marLeft w:val="0"/>
          <w:marRight w:val="0"/>
          <w:marTop w:val="0"/>
          <w:marBottom w:val="0"/>
          <w:divBdr>
            <w:top w:val="none" w:sz="0" w:space="0" w:color="auto"/>
            <w:left w:val="none" w:sz="0" w:space="0" w:color="auto"/>
            <w:bottom w:val="none" w:sz="0" w:space="0" w:color="auto"/>
            <w:right w:val="none" w:sz="0" w:space="0" w:color="auto"/>
          </w:divBdr>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6</Pages>
  <Words>3982</Words>
  <Characters>21907</Characters>
  <Application>Microsoft Office Word</Application>
  <DocSecurity>0</DocSecurity>
  <Lines>182</Lines>
  <Paragraphs>51</Paragraphs>
  <ScaleCrop>false</ScaleCrop>
  <HeadingPairs>
    <vt:vector size="6" baseType="variant">
      <vt:variant>
        <vt:lpstr>Título</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Diaz Sainz, Guillermo</cp:lastModifiedBy>
  <cp:revision>6</cp:revision>
  <cp:lastPrinted>2015-05-12T18:31:00Z</cp:lastPrinted>
  <dcterms:created xsi:type="dcterms:W3CDTF">2026-06-15T15:22:00Z</dcterms:created>
  <dcterms:modified xsi:type="dcterms:W3CDTF">2026-06-15T15:28:00Z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y fmtid="{D5CDD505-2E9C-101B-9397-08002B2CF9AE}" pid="4" name="GrammarlyDocumentId">
    <vt:lpwstr>44dadea4-e871-4da9-9cb9-bbd9e45ed13a</vt:lpwstr>
  </property>
</Properties>
</file>